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130"/>
        <w:gridCol w:w="1683"/>
        <w:gridCol w:w="1131"/>
        <w:gridCol w:w="1107"/>
        <w:gridCol w:w="1133"/>
        <w:gridCol w:w="2740"/>
        <w:gridCol w:w="2856"/>
        <w:gridCol w:w="2836"/>
      </w:tblGrid>
      <w:tr w:rsidR="008736E3" w:rsidTr="008736E3">
        <w:tc>
          <w:tcPr>
            <w:tcW w:w="1130" w:type="dxa"/>
          </w:tcPr>
          <w:p w:rsidR="008736E3" w:rsidRDefault="008736E3" w:rsidP="00F52F35">
            <w:bookmarkStart w:id="0" w:name="_GoBack"/>
            <w:bookmarkEnd w:id="0"/>
          </w:p>
        </w:tc>
        <w:tc>
          <w:tcPr>
            <w:tcW w:w="1683" w:type="dxa"/>
          </w:tcPr>
          <w:p w:rsidR="008736E3" w:rsidRDefault="008736E3" w:rsidP="00F52F35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1131" w:type="dxa"/>
          </w:tcPr>
          <w:p w:rsidR="008736E3" w:rsidRDefault="008736E3" w:rsidP="00F52F35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1107" w:type="dxa"/>
          </w:tcPr>
          <w:p w:rsidR="008736E3" w:rsidRDefault="008736E3" w:rsidP="00F52F35">
            <w:r>
              <w:t>T</w:t>
            </w:r>
            <w:r w:rsidRPr="008736E3">
              <w:rPr>
                <w:vertAlign w:val="superscript"/>
              </w:rPr>
              <w:t>o</w:t>
            </w:r>
          </w:p>
        </w:tc>
        <w:tc>
          <w:tcPr>
            <w:tcW w:w="1133" w:type="dxa"/>
          </w:tcPr>
          <w:p w:rsidR="008736E3" w:rsidRDefault="008736E3" w:rsidP="00F52F3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740" w:type="dxa"/>
          </w:tcPr>
          <w:p w:rsidR="008736E3" w:rsidRDefault="008736E3" w:rsidP="00B17700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</w:p>
        </w:tc>
        <w:tc>
          <w:tcPr>
            <w:tcW w:w="2856" w:type="dxa"/>
          </w:tcPr>
          <w:p w:rsidR="008736E3" w:rsidRDefault="008736E3" w:rsidP="00B17700"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836" w:type="dxa"/>
          </w:tcPr>
          <w:p w:rsidR="008736E3" w:rsidRDefault="008736E3" w:rsidP="007F237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736E3" w:rsidTr="008736E3">
        <w:tc>
          <w:tcPr>
            <w:tcW w:w="1130" w:type="dxa"/>
          </w:tcPr>
          <w:p w:rsidR="008736E3" w:rsidRDefault="008736E3" w:rsidP="00F52F35"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1683" w:type="dxa"/>
          </w:tcPr>
          <w:p w:rsidR="008736E3" w:rsidRDefault="008736E3" w:rsidP="00F52F35">
            <w:proofErr w:type="spellStart"/>
            <w:r>
              <w:t>Hct</w:t>
            </w:r>
            <w:proofErr w:type="spellEnd"/>
            <w:r>
              <w:t xml:space="preserve"> 35%</w:t>
            </w:r>
          </w:p>
          <w:p w:rsidR="008736E3" w:rsidRDefault="008736E3" w:rsidP="00F52F35"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bền</w:t>
            </w:r>
            <w:proofErr w:type="spellEnd"/>
            <w:r>
              <w:t xml:space="preserve"> (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5,8)</w:t>
            </w:r>
          </w:p>
        </w:tc>
        <w:tc>
          <w:tcPr>
            <w:tcW w:w="1131" w:type="dxa"/>
          </w:tcPr>
          <w:p w:rsidR="008736E3" w:rsidRDefault="008736E3" w:rsidP="00F52F35">
            <w:r>
              <w:t>250 ml, 350ml</w:t>
            </w:r>
          </w:p>
        </w:tc>
        <w:tc>
          <w:tcPr>
            <w:tcW w:w="1107" w:type="dxa"/>
            <w:vMerge w:val="restart"/>
          </w:tcPr>
          <w:p w:rsidR="008736E3" w:rsidRDefault="008736E3" w:rsidP="00F52F35">
            <w:r>
              <w:t>2-6</w:t>
            </w:r>
            <w:r w:rsidRPr="000F0371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1133" w:type="dxa"/>
            <w:vMerge w:val="restart"/>
          </w:tcPr>
          <w:p w:rsidR="008736E3" w:rsidRDefault="008736E3" w:rsidP="000F0371">
            <w:r>
              <w:t xml:space="preserve">35 </w:t>
            </w:r>
            <w:proofErr w:type="spellStart"/>
            <w:r>
              <w:t>ngày</w:t>
            </w:r>
            <w:proofErr w:type="spellEnd"/>
          </w:p>
          <w:p w:rsidR="008736E3" w:rsidRDefault="008736E3" w:rsidP="005D36A0">
            <w:r>
              <w:t>(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); 42 </w:t>
            </w:r>
            <w:proofErr w:type="spellStart"/>
            <w:r>
              <w:t>ngày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BQ)</w:t>
            </w:r>
          </w:p>
        </w:tc>
        <w:tc>
          <w:tcPr>
            <w:tcW w:w="2740" w:type="dxa"/>
            <w:vMerge w:val="restart"/>
          </w:tcPr>
          <w:p w:rsidR="008736E3" w:rsidRDefault="008736E3" w:rsidP="008736E3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30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2 </w:t>
            </w:r>
            <w:proofErr w:type="spellStart"/>
            <w:r>
              <w:t>giờ</w:t>
            </w:r>
            <w:proofErr w:type="spellEnd"/>
            <w:r>
              <w:t>.</w:t>
            </w:r>
          </w:p>
          <w:p w:rsidR="008736E3" w:rsidRDefault="008736E3" w:rsidP="008736E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&lt; 4 </w:t>
            </w:r>
            <w:proofErr w:type="spellStart"/>
            <w:r>
              <w:t>giờ</w:t>
            </w:r>
            <w:proofErr w:type="spellEnd"/>
            <w:r>
              <w:t>.</w:t>
            </w:r>
          </w:p>
          <w:p w:rsidR="008736E3" w:rsidRDefault="008736E3" w:rsidP="008736E3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30 </w:t>
            </w:r>
            <w:proofErr w:type="spellStart"/>
            <w:r>
              <w:t>phút</w:t>
            </w:r>
            <w:proofErr w:type="spellEnd"/>
            <w:r>
              <w:t xml:space="preserve"> do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khuẩn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túi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2856" w:type="dxa"/>
          </w:tcPr>
          <w:p w:rsidR="008736E3" w:rsidRDefault="008736E3" w:rsidP="00B17700">
            <w:r>
              <w:t xml:space="preserve">6 ml/kg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1 g/dl </w:t>
            </w:r>
            <w:proofErr w:type="spellStart"/>
            <w:r>
              <w:t>Hb</w:t>
            </w:r>
            <w:proofErr w:type="spellEnd"/>
          </w:p>
          <w:p w:rsidR="008736E3" w:rsidRDefault="008736E3" w:rsidP="00B17700">
            <w:proofErr w:type="spellStart"/>
            <w:r>
              <w:t>Liều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10 - 20 ml/kg.</w:t>
            </w:r>
          </w:p>
          <w:p w:rsidR="008736E3" w:rsidRDefault="008736E3" w:rsidP="00B17700"/>
        </w:tc>
        <w:tc>
          <w:tcPr>
            <w:tcW w:w="2836" w:type="dxa"/>
          </w:tcPr>
          <w:p w:rsidR="008736E3" w:rsidRDefault="008736E3" w:rsidP="007F237A"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≤ 7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:rsidR="008736E3" w:rsidRDefault="008736E3" w:rsidP="007F237A"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túi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:</w:t>
            </w:r>
          </w:p>
          <w:p w:rsidR="008736E3" w:rsidRDefault="008736E3" w:rsidP="007F237A">
            <w:r>
              <w:t xml:space="preserve">-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pH.</w:t>
            </w:r>
            <w:proofErr w:type="spellEnd"/>
          </w:p>
          <w:p w:rsidR="008736E3" w:rsidRDefault="008736E3" w:rsidP="007F237A">
            <w:r>
              <w:t xml:space="preserve">- </w:t>
            </w:r>
            <w:proofErr w:type="spellStart"/>
            <w:r>
              <w:t>Giảm</w:t>
            </w:r>
            <w:proofErr w:type="spellEnd"/>
            <w:r>
              <w:t xml:space="preserve"> 2</w:t>
            </w:r>
            <w:proofErr w:type="gramStart"/>
            <w:r>
              <w:t>,3</w:t>
            </w:r>
            <w:proofErr w:type="gramEnd"/>
            <w:r>
              <w:t xml:space="preserve"> DPG </w:t>
            </w:r>
            <w:proofErr w:type="spellStart"/>
            <w:r>
              <w:t>của</w:t>
            </w:r>
            <w:proofErr w:type="spellEnd"/>
            <w:r>
              <w:t xml:space="preserve"> HC,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oxy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>.</w:t>
            </w:r>
          </w:p>
          <w:p w:rsidR="008736E3" w:rsidRDefault="008736E3" w:rsidP="008736E3">
            <w:r>
              <w:t xml:space="preserve">- </w:t>
            </w:r>
            <w:proofErr w:type="spellStart"/>
            <w:r>
              <w:t>Tăng</w:t>
            </w:r>
            <w:proofErr w:type="spellEnd"/>
            <w:r>
              <w:t xml:space="preserve"> K+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>.</w:t>
            </w:r>
          </w:p>
        </w:tc>
      </w:tr>
      <w:tr w:rsidR="008736E3" w:rsidTr="008736E3">
        <w:tc>
          <w:tcPr>
            <w:tcW w:w="1130" w:type="dxa"/>
          </w:tcPr>
          <w:p w:rsidR="008736E3" w:rsidRDefault="008736E3" w:rsidP="00F52F35">
            <w:r>
              <w:t>HCL</w:t>
            </w:r>
          </w:p>
        </w:tc>
        <w:tc>
          <w:tcPr>
            <w:tcW w:w="1683" w:type="dxa"/>
          </w:tcPr>
          <w:p w:rsidR="008736E3" w:rsidRDefault="008736E3" w:rsidP="00F52F35">
            <w:proofErr w:type="spellStart"/>
            <w:r>
              <w:t>Hct</w:t>
            </w:r>
            <w:proofErr w:type="spellEnd"/>
            <w:r>
              <w:t xml:space="preserve"> 70%</w:t>
            </w:r>
          </w:p>
          <w:p w:rsidR="008736E3" w:rsidRDefault="008736E3" w:rsidP="00F52F35"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1131" w:type="dxa"/>
          </w:tcPr>
          <w:p w:rsidR="008736E3" w:rsidRDefault="008736E3" w:rsidP="00F52F35"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chia 2</w:t>
            </w:r>
          </w:p>
        </w:tc>
        <w:tc>
          <w:tcPr>
            <w:tcW w:w="1107" w:type="dxa"/>
            <w:vMerge/>
          </w:tcPr>
          <w:p w:rsidR="008736E3" w:rsidRDefault="008736E3" w:rsidP="00F52F35"/>
        </w:tc>
        <w:tc>
          <w:tcPr>
            <w:tcW w:w="1133" w:type="dxa"/>
            <w:vMerge/>
          </w:tcPr>
          <w:p w:rsidR="008736E3" w:rsidRDefault="008736E3" w:rsidP="005D36A0"/>
        </w:tc>
        <w:tc>
          <w:tcPr>
            <w:tcW w:w="2740" w:type="dxa"/>
            <w:vMerge/>
          </w:tcPr>
          <w:p w:rsidR="008736E3" w:rsidRDefault="008736E3" w:rsidP="00B17700"/>
        </w:tc>
        <w:tc>
          <w:tcPr>
            <w:tcW w:w="2856" w:type="dxa"/>
          </w:tcPr>
          <w:p w:rsidR="008736E3" w:rsidRDefault="008736E3" w:rsidP="00B17700">
            <w:r>
              <w:t xml:space="preserve">10ml/kg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Hct</w:t>
            </w:r>
            <w:proofErr w:type="spellEnd"/>
            <w:r>
              <w:t xml:space="preserve"> 7%</w:t>
            </w:r>
          </w:p>
        </w:tc>
        <w:tc>
          <w:tcPr>
            <w:tcW w:w="2836" w:type="dxa"/>
          </w:tcPr>
          <w:p w:rsidR="008736E3" w:rsidRDefault="008736E3" w:rsidP="007F237A"/>
        </w:tc>
      </w:tr>
      <w:tr w:rsidR="008736E3" w:rsidTr="008736E3">
        <w:tc>
          <w:tcPr>
            <w:tcW w:w="1130" w:type="dxa"/>
          </w:tcPr>
          <w:p w:rsidR="008736E3" w:rsidRDefault="008736E3" w:rsidP="00F52F35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đậm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</w:p>
        </w:tc>
        <w:tc>
          <w:tcPr>
            <w:tcW w:w="1683" w:type="dxa"/>
          </w:tcPr>
          <w:p w:rsidR="008736E3" w:rsidRDefault="008736E3" w:rsidP="00F52F35">
            <w:r>
              <w:t xml:space="preserve">50 </w:t>
            </w:r>
            <w:proofErr w:type="spellStart"/>
            <w:r>
              <w:t>tỉ</w:t>
            </w:r>
            <w:proofErr w:type="spellEnd"/>
            <w:r>
              <w:t xml:space="preserve"> con/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131" w:type="dxa"/>
          </w:tcPr>
          <w:p w:rsidR="008736E3" w:rsidRDefault="008736E3" w:rsidP="00F52F35">
            <w:r>
              <w:t>40 ml /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107" w:type="dxa"/>
          </w:tcPr>
          <w:p w:rsidR="008736E3" w:rsidRDefault="008736E3" w:rsidP="00F52F35">
            <w:r>
              <w:t>20-24</w:t>
            </w:r>
            <w:r w:rsidRPr="005D36A0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1133" w:type="dxa"/>
          </w:tcPr>
          <w:p w:rsidR="008736E3" w:rsidRDefault="008736E3" w:rsidP="00F52F35">
            <w:r>
              <w:t xml:space="preserve">5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  <w:tc>
          <w:tcPr>
            <w:tcW w:w="2740" w:type="dxa"/>
          </w:tcPr>
          <w:p w:rsidR="008736E3" w:rsidRDefault="008736E3" w:rsidP="008736E3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 w:rsidR="00E00D98">
              <w:t>,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8736E3" w:rsidRDefault="008736E3" w:rsidP="00E00D98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càng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: 30 </w:t>
            </w:r>
            <w:proofErr w:type="spellStart"/>
            <w:r>
              <w:t>phút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 </w:t>
            </w:r>
            <w:proofErr w:type="spellStart"/>
            <w:r>
              <w:t>giờ</w:t>
            </w:r>
            <w:proofErr w:type="spellEnd"/>
            <w:r>
              <w:t xml:space="preserve">. Hay 20p/1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2856" w:type="dxa"/>
          </w:tcPr>
          <w:p w:rsidR="008736E3" w:rsidRDefault="008736E3" w:rsidP="008736E3">
            <w:r>
              <w:t xml:space="preserve">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/5-7 kg (</w:t>
            </w:r>
            <w:proofErr w:type="spellStart"/>
            <w:r>
              <w:t>tăng</w:t>
            </w:r>
            <w:proofErr w:type="spellEnd"/>
            <w:r>
              <w:t xml:space="preserve"> 30 – 50 k/mm3)</w:t>
            </w:r>
          </w:p>
        </w:tc>
        <w:tc>
          <w:tcPr>
            <w:tcW w:w="2836" w:type="dxa"/>
          </w:tcPr>
          <w:p w:rsidR="008736E3" w:rsidRDefault="008736E3" w:rsidP="008736E3">
            <w:r>
              <w:t xml:space="preserve">1 CUP </w:t>
            </w:r>
            <w:proofErr w:type="spellStart"/>
            <w:r>
              <w:t>có</w:t>
            </w:r>
            <w:proofErr w:type="spellEnd"/>
            <w:r>
              <w:t xml:space="preserve"> 6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, 250ml,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, </w:t>
            </w:r>
            <w:proofErr w:type="spellStart"/>
            <w:r>
              <w:t>dị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8736E3" w:rsidTr="008736E3">
        <w:tc>
          <w:tcPr>
            <w:tcW w:w="1130" w:type="dxa"/>
          </w:tcPr>
          <w:p w:rsidR="008736E3" w:rsidRDefault="008736E3" w:rsidP="00F52F35"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</w:p>
        </w:tc>
        <w:tc>
          <w:tcPr>
            <w:tcW w:w="1683" w:type="dxa"/>
          </w:tcPr>
          <w:p w:rsidR="008736E3" w:rsidRDefault="00E00D98" w:rsidP="00607FED">
            <w:proofErr w:type="spellStart"/>
            <w:r>
              <w:t>Y</w:t>
            </w:r>
            <w:r w:rsidR="008736E3">
              <w:t>ếu</w:t>
            </w:r>
            <w:proofErr w:type="spellEnd"/>
            <w:r w:rsidR="008736E3">
              <w:t xml:space="preserve"> </w:t>
            </w:r>
            <w:proofErr w:type="spellStart"/>
            <w:r w:rsidR="008736E3">
              <w:t>tố</w:t>
            </w:r>
            <w:proofErr w:type="spellEnd"/>
            <w:r w:rsidR="008736E3">
              <w:t xml:space="preserve"> </w:t>
            </w:r>
            <w:proofErr w:type="spellStart"/>
            <w:r w:rsidR="008736E3">
              <w:t>đông</w:t>
            </w:r>
            <w:proofErr w:type="spellEnd"/>
            <w:r w:rsidR="008736E3">
              <w:t xml:space="preserve"> </w:t>
            </w:r>
            <w:proofErr w:type="spellStart"/>
            <w:r w:rsidR="008736E3">
              <w:t>máu</w:t>
            </w:r>
            <w:proofErr w:type="spellEnd"/>
            <w:r w:rsidR="008736E3">
              <w:t xml:space="preserve">, albumin immunoglobulin </w:t>
            </w:r>
          </w:p>
          <w:p w:rsidR="008736E3" w:rsidRDefault="008736E3" w:rsidP="00B17700"/>
        </w:tc>
        <w:tc>
          <w:tcPr>
            <w:tcW w:w="1131" w:type="dxa"/>
          </w:tcPr>
          <w:p w:rsidR="008736E3" w:rsidRDefault="008736E3" w:rsidP="00F52F35">
            <w:r>
              <w:t>150 ml, 250 ml</w:t>
            </w:r>
          </w:p>
        </w:tc>
        <w:tc>
          <w:tcPr>
            <w:tcW w:w="1107" w:type="dxa"/>
            <w:vMerge w:val="restart"/>
          </w:tcPr>
          <w:p w:rsidR="008736E3" w:rsidRDefault="008736E3" w:rsidP="00B17700">
            <w:r>
              <w:t>-25</w:t>
            </w:r>
            <w:r w:rsidRPr="005D36A0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1133" w:type="dxa"/>
            <w:vMerge w:val="restart"/>
          </w:tcPr>
          <w:p w:rsidR="008736E3" w:rsidRDefault="008736E3" w:rsidP="00F52F35">
            <w:r>
              <w:t xml:space="preserve">2 </w:t>
            </w:r>
            <w:proofErr w:type="spellStart"/>
            <w:r>
              <w:t>năm</w:t>
            </w:r>
            <w:proofErr w:type="spellEnd"/>
          </w:p>
        </w:tc>
        <w:tc>
          <w:tcPr>
            <w:tcW w:w="2740" w:type="dxa"/>
          </w:tcPr>
          <w:p w:rsidR="00E00D98" w:rsidRDefault="00E00D98" w:rsidP="008736E3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ngâm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ấm</w:t>
            </w:r>
            <w:proofErr w:type="spellEnd"/>
            <w:r>
              <w:t xml:space="preserve"> ở 30oC- 37oC </w:t>
            </w:r>
          </w:p>
          <w:p w:rsidR="008736E3" w:rsidRDefault="00E00D98" w:rsidP="008736E3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Calci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do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Citrate</w:t>
            </w:r>
          </w:p>
        </w:tc>
        <w:tc>
          <w:tcPr>
            <w:tcW w:w="2856" w:type="dxa"/>
          </w:tcPr>
          <w:p w:rsidR="008736E3" w:rsidRDefault="008736E3" w:rsidP="008736E3">
            <w:proofErr w:type="spellStart"/>
            <w:r>
              <w:t>Liều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10ml/kg</w:t>
            </w:r>
          </w:p>
          <w:p w:rsidR="008736E3" w:rsidRDefault="008736E3" w:rsidP="00F52F35"/>
        </w:tc>
        <w:tc>
          <w:tcPr>
            <w:tcW w:w="2836" w:type="dxa"/>
          </w:tcPr>
          <w:p w:rsidR="008736E3" w:rsidRDefault="008736E3" w:rsidP="007F237A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6 - 8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</w:tr>
      <w:tr w:rsidR="008736E3" w:rsidTr="008736E3">
        <w:tc>
          <w:tcPr>
            <w:tcW w:w="1130" w:type="dxa"/>
          </w:tcPr>
          <w:p w:rsidR="008736E3" w:rsidRDefault="008736E3" w:rsidP="00F52F35"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phẩn</w:t>
            </w:r>
            <w:proofErr w:type="spellEnd"/>
            <w:r>
              <w:t xml:space="preserve"> </w:t>
            </w:r>
            <w:proofErr w:type="spellStart"/>
            <w:r>
              <w:t>tủa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</w:p>
        </w:tc>
        <w:tc>
          <w:tcPr>
            <w:tcW w:w="1683" w:type="dxa"/>
          </w:tcPr>
          <w:p w:rsidR="008736E3" w:rsidRDefault="008736E3" w:rsidP="008736E3"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8 </w:t>
            </w:r>
            <w:proofErr w:type="spellStart"/>
            <w:r>
              <w:t>khoảng</w:t>
            </w:r>
            <w:proofErr w:type="spellEnd"/>
            <w:r>
              <w:t xml:space="preserve"> 100 UI,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12, Fibrinogen 140 mg, Von </w:t>
            </w:r>
            <w:proofErr w:type="spellStart"/>
            <w:r>
              <w:t>Willebrand</w:t>
            </w:r>
            <w:proofErr w:type="spellEnd"/>
            <w:r>
              <w:t xml:space="preserve">. </w:t>
            </w:r>
          </w:p>
        </w:tc>
        <w:tc>
          <w:tcPr>
            <w:tcW w:w="1131" w:type="dxa"/>
          </w:tcPr>
          <w:p w:rsidR="008736E3" w:rsidRDefault="008736E3" w:rsidP="00F52F35">
            <w:r>
              <w:t>50 ml</w:t>
            </w:r>
          </w:p>
        </w:tc>
        <w:tc>
          <w:tcPr>
            <w:tcW w:w="1107" w:type="dxa"/>
            <w:vMerge/>
          </w:tcPr>
          <w:p w:rsidR="008736E3" w:rsidRDefault="008736E3" w:rsidP="00B17700"/>
        </w:tc>
        <w:tc>
          <w:tcPr>
            <w:tcW w:w="1133" w:type="dxa"/>
            <w:vMerge/>
          </w:tcPr>
          <w:p w:rsidR="008736E3" w:rsidRDefault="008736E3" w:rsidP="00F52F35"/>
        </w:tc>
        <w:tc>
          <w:tcPr>
            <w:tcW w:w="2740" w:type="dxa"/>
          </w:tcPr>
          <w:p w:rsidR="008736E3" w:rsidRDefault="008736E3" w:rsidP="00B17700"/>
        </w:tc>
        <w:tc>
          <w:tcPr>
            <w:tcW w:w="2856" w:type="dxa"/>
          </w:tcPr>
          <w:p w:rsidR="008736E3" w:rsidRDefault="008736E3" w:rsidP="00B17700">
            <w:r>
              <w:t xml:space="preserve">1 </w:t>
            </w:r>
            <w:proofErr w:type="spellStart"/>
            <w:r>
              <w:t>túi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100 UI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8</w:t>
            </w:r>
          </w:p>
        </w:tc>
        <w:tc>
          <w:tcPr>
            <w:tcW w:w="2836" w:type="dxa"/>
          </w:tcPr>
          <w:p w:rsidR="008736E3" w:rsidRDefault="008736E3" w:rsidP="007F237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HT </w:t>
            </w:r>
            <w:proofErr w:type="spellStart"/>
            <w:r>
              <w:t>tươi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>
              <w:t xml:space="preserve"> ở 4oC, </w:t>
            </w:r>
            <w:proofErr w:type="spellStart"/>
            <w:r>
              <w:t>ly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tủa</w:t>
            </w:r>
            <w:proofErr w:type="spellEnd"/>
          </w:p>
        </w:tc>
      </w:tr>
    </w:tbl>
    <w:p w:rsidR="00F52F35" w:rsidRDefault="00607FED" w:rsidP="00F52F35"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607FED" w:rsidRDefault="00607FED" w:rsidP="00607FED">
      <w:r>
        <w:t xml:space="preserve">-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: </w:t>
      </w:r>
      <w:proofErr w:type="spellStart"/>
      <w:r>
        <w:t>Hb</w:t>
      </w:r>
      <w:proofErr w:type="spellEnd"/>
      <w:r>
        <w:t xml:space="preserve"> ≤ 4 g/dl.</w:t>
      </w:r>
    </w:p>
    <w:p w:rsidR="00607FED" w:rsidRDefault="00607FED" w:rsidP="00607FED">
      <w:r>
        <w:t xml:space="preserve">-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>
        <w:t>Hb</w:t>
      </w:r>
      <w:proofErr w:type="spellEnd"/>
      <w:r>
        <w:t xml:space="preserve"> ≤ 7 g/dl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giữ</w:t>
      </w:r>
      <w:proofErr w:type="spellEnd"/>
      <w:r w:rsidR="008736E3">
        <w:t xml:space="preserve"> </w:t>
      </w:r>
      <w:proofErr w:type="spellStart"/>
      <w:r>
        <w:t>Hb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7 - 9 g/dl).</w:t>
      </w:r>
    </w:p>
    <w:p w:rsidR="00607FED" w:rsidRDefault="00607FED" w:rsidP="00607FED">
      <w:r>
        <w:t xml:space="preserve">- </w:t>
      </w:r>
      <w:proofErr w:type="spellStart"/>
      <w:r>
        <w:t>Sốc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sốc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: </w:t>
      </w:r>
      <w:proofErr w:type="spellStart"/>
      <w:r>
        <w:t>Hb</w:t>
      </w:r>
      <w:proofErr w:type="spellEnd"/>
      <w:r>
        <w:t xml:space="preserve"> ≤ 10 g/dl</w:t>
      </w:r>
    </w:p>
    <w:p w:rsidR="008736E3" w:rsidRDefault="008736E3" w:rsidP="008736E3">
      <w:r>
        <w:rPr>
          <w:noProof/>
        </w:rPr>
        <w:drawing>
          <wp:inline distT="0" distB="0" distL="0" distR="0" wp14:anchorId="36CA5B41" wp14:editId="0C1B8B2F">
            <wp:extent cx="2328760" cy="34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867" t="38348" r="30911" b="51213"/>
                    <a:stretch/>
                  </pic:blipFill>
                  <pic:spPr bwMode="auto">
                    <a:xfrm>
                      <a:off x="0" y="0"/>
                      <a:ext cx="2331189" cy="3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6E3" w:rsidRDefault="008736E3" w:rsidP="008736E3">
      <w:proofErr w:type="spellStart"/>
      <w:r>
        <w:lastRenderedPageBreak/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80 ml/kg</w:t>
      </w:r>
    </w:p>
    <w:p w:rsidR="00B17700" w:rsidRDefault="00B17700" w:rsidP="00F52F35"/>
    <w:p w:rsidR="00E00D98" w:rsidRDefault="00E00D98" w:rsidP="00E00D98"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E00D98" w:rsidRDefault="00E00D98" w:rsidP="00E00D98"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HCL: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, </w:t>
      </w:r>
      <w:proofErr w:type="spellStart"/>
      <w:r>
        <w:t>sdd</w:t>
      </w:r>
      <w:proofErr w:type="spellEnd"/>
    </w:p>
    <w:p w:rsidR="00E00D98" w:rsidRDefault="00E00D98" w:rsidP="00E00D98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citrate,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E00D98" w:rsidRDefault="00E00D98" w:rsidP="00E00D98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4 - 5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lạnh</w:t>
      </w:r>
      <w:proofErr w:type="spellEnd"/>
    </w:p>
    <w:p w:rsidR="00E00D98" w:rsidRDefault="00E00D98" w:rsidP="00F52F35"/>
    <w:p w:rsidR="00F52F35" w:rsidRDefault="00F52F35" w:rsidP="00F52F35"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(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90%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>,</w:t>
      </w:r>
      <w:r w:rsidR="008736E3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 w:rsidR="008736E3"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>)</w:t>
      </w:r>
      <w:r w:rsidR="00E00D98">
        <w:t xml:space="preserve">: </w:t>
      </w:r>
      <w:proofErr w:type="spellStart"/>
      <w:r w:rsidR="00E00D98">
        <w:t>mất</w:t>
      </w:r>
      <w:proofErr w:type="spellEnd"/>
      <w:r w:rsidR="00E00D98">
        <w:t xml:space="preserve"> </w:t>
      </w:r>
      <w:proofErr w:type="spellStart"/>
      <w:r w:rsidR="00E00D98">
        <w:t>kháng</w:t>
      </w:r>
      <w:proofErr w:type="spellEnd"/>
      <w:r w:rsidR="00E00D98">
        <w:t xml:space="preserve"> </w:t>
      </w:r>
      <w:proofErr w:type="spellStart"/>
      <w:r w:rsidR="00E00D98">
        <w:t>thể</w:t>
      </w:r>
      <w:proofErr w:type="spellEnd"/>
      <w:r w:rsidR="00E00D98">
        <w:t xml:space="preserve"> </w:t>
      </w:r>
      <w:proofErr w:type="spellStart"/>
      <w:r w:rsidR="00E00D98">
        <w:t>trong</w:t>
      </w:r>
      <w:proofErr w:type="spellEnd"/>
      <w:r w:rsidR="00E00D98">
        <w:t xml:space="preserve"> </w:t>
      </w:r>
      <w:proofErr w:type="spellStart"/>
      <w:r w:rsidR="00E00D98">
        <w:t>huyết</w:t>
      </w:r>
      <w:proofErr w:type="spellEnd"/>
      <w:r w:rsidR="00E00D98">
        <w:t xml:space="preserve"> </w:t>
      </w:r>
      <w:proofErr w:type="spellStart"/>
      <w:r w:rsidR="00E00D98">
        <w:t>tương</w:t>
      </w:r>
      <w:proofErr w:type="spellEnd"/>
      <w:r w:rsidR="00E00D98">
        <w:t xml:space="preserve"> </w:t>
      </w:r>
      <w:proofErr w:type="spellStart"/>
      <w:r w:rsidR="00E00D98">
        <w:t>và</w:t>
      </w:r>
      <w:proofErr w:type="spellEnd"/>
      <w:r w:rsidR="00E00D98">
        <w:t xml:space="preserve"> </w:t>
      </w:r>
      <w:proofErr w:type="spellStart"/>
      <w:r w:rsidR="00E00D98">
        <w:t>bề</w:t>
      </w:r>
      <w:proofErr w:type="spellEnd"/>
      <w:r w:rsidR="00E00D98">
        <w:t xml:space="preserve"> </w:t>
      </w:r>
      <w:proofErr w:type="spellStart"/>
      <w:r w:rsidR="00E00D98">
        <w:t>mặt</w:t>
      </w:r>
      <w:proofErr w:type="spellEnd"/>
      <w:r w:rsidR="00E00D98">
        <w:t xml:space="preserve"> </w:t>
      </w:r>
      <w:proofErr w:type="spellStart"/>
      <w:r w:rsidR="00E00D98">
        <w:t>hồng</w:t>
      </w:r>
      <w:proofErr w:type="spellEnd"/>
      <w:r w:rsidR="00E00D98">
        <w:t xml:space="preserve"> </w:t>
      </w:r>
      <w:proofErr w:type="spellStart"/>
      <w:r w:rsidR="00E00D98">
        <w:t>cầu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,</w:t>
      </w:r>
      <w:r w:rsidR="00E00D98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IgA </w:t>
      </w:r>
      <w:proofErr w:type="spellStart"/>
      <w:r>
        <w:t>hoặc</w:t>
      </w:r>
      <w:proofErr w:type="spellEnd"/>
      <w:r>
        <w:t xml:space="preserve"> IgG.</w:t>
      </w:r>
    </w:p>
    <w:p w:rsidR="00607FED" w:rsidRDefault="00607FED" w:rsidP="00F52F35"/>
    <w:p w:rsidR="00F52F35" w:rsidRDefault="00F52F35" w:rsidP="00F52F35"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F52F35" w:rsidRDefault="00F52F35" w:rsidP="00F52F35">
      <w:r>
        <w:t xml:space="preserve">●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 w:rsidR="008736E3">
        <w:t>ko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(“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 w:rsidR="008736E3">
        <w:t xml:space="preserve"> </w:t>
      </w:r>
      <w:proofErr w:type="spellStart"/>
      <w:proofErr w:type="gramStart"/>
      <w:r>
        <w:t>đỏ</w:t>
      </w:r>
      <w:proofErr w:type="spellEnd"/>
      <w:r>
        <w:t xml:space="preserve"> ”</w:t>
      </w:r>
      <w:proofErr w:type="gramEnd"/>
      <w:r>
        <w:t xml:space="preserve">), </w:t>
      </w:r>
      <w:proofErr w:type="spellStart"/>
      <w:r>
        <w:t>hoặc</w:t>
      </w:r>
      <w:proofErr w:type="spellEnd"/>
      <w:r>
        <w:t xml:space="preserve"> </w:t>
      </w:r>
      <w:proofErr w:type="spellStart"/>
      <w:r w:rsidR="008736E3"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 w:rsidR="008736E3">
        <w:t>ko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F52F35" w:rsidRDefault="00F52F35" w:rsidP="00F52F35">
      <w:proofErr w:type="spellStart"/>
      <w:proofErr w:type="gramStart"/>
      <w:r>
        <w:t>được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</w:t>
      </w:r>
      <w:r w:rsidR="008736E3">
        <w:t>nh</w:t>
      </w:r>
      <w:proofErr w:type="spellEnd"/>
      <w:r w:rsidR="008736E3">
        <w:t xml:space="preserve">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cho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>.</w:t>
      </w:r>
      <w:r w:rsidR="008736E3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gramStart"/>
      <w:r>
        <w:t>Rh(</w:t>
      </w:r>
      <w:proofErr w:type="gramEnd"/>
      <w:r>
        <w:t xml:space="preserve">D)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phải</w:t>
      </w:r>
      <w:proofErr w:type="spellEnd"/>
    </w:p>
    <w:p w:rsidR="00F52F35" w:rsidRDefault="00F52F35" w:rsidP="00F52F35">
      <w:proofErr w:type="spellStart"/>
      <w:proofErr w:type="gramStart"/>
      <w:r>
        <w:t>truyền</w:t>
      </w:r>
      <w:proofErr w:type="spellEnd"/>
      <w:proofErr w:type="gramEnd"/>
      <w:r>
        <w:t xml:space="preserve"> HCL </w:t>
      </w:r>
      <w:proofErr w:type="spellStart"/>
      <w:r>
        <w:t>nhóm</w:t>
      </w:r>
      <w:proofErr w:type="spellEnd"/>
      <w:r>
        <w:t xml:space="preserve"> O Rh(D) </w:t>
      </w:r>
      <w:proofErr w:type="spellStart"/>
      <w:r>
        <w:t>âm</w:t>
      </w:r>
      <w:proofErr w:type="spellEnd"/>
      <w:r>
        <w:t>.</w:t>
      </w:r>
    </w:p>
    <w:p w:rsidR="00F52F35" w:rsidRDefault="00F52F35" w:rsidP="00F52F35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Rh (D)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gramStart"/>
      <w:r>
        <w:t>Rh(</w:t>
      </w:r>
      <w:proofErr w:type="gramEnd"/>
      <w:r>
        <w:t xml:space="preserve">D)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 w:rsidR="008736E3"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doạ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52F35" w:rsidRDefault="00F52F35" w:rsidP="00F52F35">
      <w:r>
        <w:t xml:space="preserve">+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AHG ở 37oC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F52F35" w:rsidRDefault="00F52F35" w:rsidP="00F52F35">
      <w:r>
        <w:t xml:space="preserve">+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:rsidR="00F52F35" w:rsidRDefault="00F52F35" w:rsidP="00F52F35">
      <w:proofErr w:type="gramStart"/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proofErr w:type="gramEnd"/>
    </w:p>
    <w:p w:rsidR="00F52F35" w:rsidRDefault="00F52F35" w:rsidP="00F52F35">
      <w:r>
        <w:t xml:space="preserve">●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F52F35" w:rsidRDefault="00F52F35" w:rsidP="00F52F35">
      <w:proofErr w:type="gramStart"/>
      <w:r>
        <w:t xml:space="preserve">-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proofErr w:type="gramEnd"/>
    </w:p>
    <w:p w:rsidR="00F52F35" w:rsidRDefault="00F52F35" w:rsidP="00F52F35">
      <w:proofErr w:type="gramStart"/>
      <w:r>
        <w:t xml:space="preserve">- </w:t>
      </w:r>
      <w:proofErr w:type="spellStart"/>
      <w:r w:rsidR="008736E3">
        <w:t>Ko</w:t>
      </w:r>
      <w:proofErr w:type="spellEnd"/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lượng</w:t>
      </w:r>
      <w:proofErr w:type="spellEnd"/>
      <w:r w:rsidR="008736E3"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O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-A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kháng</w:t>
      </w:r>
      <w:proofErr w:type="spellEnd"/>
      <w:r>
        <w:t>-B).</w:t>
      </w:r>
    </w:p>
    <w:p w:rsidR="00607FED" w:rsidRDefault="00607FED" w:rsidP="00F52F35"/>
    <w:p w:rsidR="00F52F35" w:rsidRDefault="00F52F35" w:rsidP="00F52F35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proofErr w:type="gramStart"/>
      <w:r w:rsidR="008736E3"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huyết</w:t>
      </w:r>
      <w:proofErr w:type="spellEnd"/>
      <w:r w:rsidR="008736E3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AB (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AB </w:t>
      </w:r>
      <w:proofErr w:type="spellStart"/>
      <w:r w:rsidR="008736E3">
        <w:t>ko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).</w:t>
      </w:r>
    </w:p>
    <w:p w:rsidR="00F67A97" w:rsidRDefault="00E00D98" w:rsidP="00F52F35">
      <w:proofErr w:type="spellStart"/>
      <w:r>
        <w:t>Máu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CPD-A</w:t>
      </w:r>
    </w:p>
    <w:sectPr w:rsidR="00F67A97" w:rsidSect="00B177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96C" w:rsidRDefault="00B2096C" w:rsidP="00623761">
      <w:r>
        <w:separator/>
      </w:r>
    </w:p>
  </w:endnote>
  <w:endnote w:type="continuationSeparator" w:id="0">
    <w:p w:rsidR="00B2096C" w:rsidRDefault="00B2096C" w:rsidP="0062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761" w:rsidRDefault="006237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761" w:rsidRDefault="006237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761" w:rsidRDefault="00623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96C" w:rsidRDefault="00B2096C" w:rsidP="00623761">
      <w:r>
        <w:separator/>
      </w:r>
    </w:p>
  </w:footnote>
  <w:footnote w:type="continuationSeparator" w:id="0">
    <w:p w:rsidR="00B2096C" w:rsidRDefault="00B2096C" w:rsidP="00623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761" w:rsidRDefault="006237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761" w:rsidRDefault="006237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761" w:rsidRDefault="00623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88"/>
    <w:rsid w:val="000143B5"/>
    <w:rsid w:val="000145B5"/>
    <w:rsid w:val="000610BA"/>
    <w:rsid w:val="00062013"/>
    <w:rsid w:val="00067C88"/>
    <w:rsid w:val="000C5E43"/>
    <w:rsid w:val="000F0371"/>
    <w:rsid w:val="00331689"/>
    <w:rsid w:val="003C6FC0"/>
    <w:rsid w:val="005D36A0"/>
    <w:rsid w:val="00607FED"/>
    <w:rsid w:val="00623761"/>
    <w:rsid w:val="00746C7C"/>
    <w:rsid w:val="008727C0"/>
    <w:rsid w:val="008736E3"/>
    <w:rsid w:val="00A33D88"/>
    <w:rsid w:val="00A55959"/>
    <w:rsid w:val="00B17700"/>
    <w:rsid w:val="00B2096C"/>
    <w:rsid w:val="00D31E79"/>
    <w:rsid w:val="00D40BEE"/>
    <w:rsid w:val="00D96EAD"/>
    <w:rsid w:val="00E00D98"/>
    <w:rsid w:val="00F46DFF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F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D9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761"/>
  </w:style>
  <w:style w:type="paragraph" w:styleId="Footer">
    <w:name w:val="footer"/>
    <w:basedOn w:val="Normal"/>
    <w:link w:val="FooterChar"/>
    <w:uiPriority w:val="99"/>
    <w:unhideWhenUsed/>
    <w:rsid w:val="00623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F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D9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761"/>
  </w:style>
  <w:style w:type="paragraph" w:styleId="Footer">
    <w:name w:val="footer"/>
    <w:basedOn w:val="Normal"/>
    <w:link w:val="FooterChar"/>
    <w:uiPriority w:val="99"/>
    <w:unhideWhenUsed/>
    <w:rsid w:val="00623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PD05</cp:lastModifiedBy>
  <cp:revision>5</cp:revision>
  <cp:lastPrinted>2018-01-18T01:28:00Z</cp:lastPrinted>
  <dcterms:created xsi:type="dcterms:W3CDTF">2016-11-24T03:18:00Z</dcterms:created>
  <dcterms:modified xsi:type="dcterms:W3CDTF">2018-01-18T01:28:00Z</dcterms:modified>
</cp:coreProperties>
</file>