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9329" w14:textId="28AA8B14" w:rsidR="00537015" w:rsidRPr="00E41B68" w:rsidRDefault="00537015" w:rsidP="00E41B68">
      <w:pPr>
        <w:jc w:val="center"/>
        <w:rPr>
          <w:b/>
          <w:bCs/>
          <w:sz w:val="36"/>
          <w:szCs w:val="36"/>
        </w:rPr>
      </w:pPr>
      <w:r w:rsidRPr="00E41B68">
        <w:rPr>
          <w:b/>
          <w:bCs/>
          <w:sz w:val="36"/>
          <w:szCs w:val="36"/>
        </w:rPr>
        <w:t>Bài tập Thận Cô Tuyền</w:t>
      </w:r>
    </w:p>
    <w:p w14:paraId="31A63BA2" w14:textId="2A37C959" w:rsidR="00537015" w:rsidRDefault="00537015">
      <w:r w:rsidRPr="00537015">
        <w:t>1. Bảng phân bi</w:t>
      </w:r>
      <w:r>
        <w:t>ệt</w:t>
      </w:r>
      <w:r w:rsidRPr="00537015">
        <w:t xml:space="preserve"> tổn thương thận cấp với bệnh thận mạn</w:t>
      </w:r>
      <w:r>
        <w:t>.</w:t>
      </w:r>
    </w:p>
    <w:tbl>
      <w:tblPr>
        <w:tblStyle w:val="TableGrid"/>
        <w:tblW w:w="0" w:type="auto"/>
        <w:tblLook w:val="04A0" w:firstRow="1" w:lastRow="0" w:firstColumn="1" w:lastColumn="0" w:noHBand="0" w:noVBand="1"/>
      </w:tblPr>
      <w:tblGrid>
        <w:gridCol w:w="1129"/>
        <w:gridCol w:w="3686"/>
        <w:gridCol w:w="4201"/>
      </w:tblGrid>
      <w:tr w:rsidR="006158DB" w14:paraId="2E5801A9" w14:textId="77777777" w:rsidTr="006158DB">
        <w:tc>
          <w:tcPr>
            <w:tcW w:w="1129" w:type="dxa"/>
          </w:tcPr>
          <w:p w14:paraId="689500C8" w14:textId="77777777" w:rsidR="006158DB" w:rsidRDefault="006158DB"/>
        </w:tc>
        <w:tc>
          <w:tcPr>
            <w:tcW w:w="3686" w:type="dxa"/>
          </w:tcPr>
          <w:p w14:paraId="14440021" w14:textId="05C16D91" w:rsidR="006158DB" w:rsidRDefault="006158DB">
            <w:r>
              <w:t>Tổn thương thận cấp</w:t>
            </w:r>
          </w:p>
        </w:tc>
        <w:tc>
          <w:tcPr>
            <w:tcW w:w="4201" w:type="dxa"/>
          </w:tcPr>
          <w:p w14:paraId="0FC5B25B" w14:textId="33C0A018" w:rsidR="006158DB" w:rsidRDefault="006158DB">
            <w:r>
              <w:t>Bệnh thận mạn</w:t>
            </w:r>
          </w:p>
        </w:tc>
      </w:tr>
      <w:tr w:rsidR="006158DB" w14:paraId="0CB3F952" w14:textId="77777777" w:rsidTr="006158DB">
        <w:tc>
          <w:tcPr>
            <w:tcW w:w="1129" w:type="dxa"/>
          </w:tcPr>
          <w:p w14:paraId="74D6CCC9" w14:textId="03A88D8F" w:rsidR="006158DB" w:rsidRDefault="006158DB">
            <w:pPr>
              <w:rPr>
                <w:color w:val="000000"/>
                <w:shd w:val="clear" w:color="auto" w:fill="FFFFFF"/>
              </w:rPr>
            </w:pPr>
            <w:r>
              <w:rPr>
                <w:color w:val="000000"/>
                <w:shd w:val="clear" w:color="auto" w:fill="FFFFFF"/>
              </w:rPr>
              <w:t>Định nghĩa</w:t>
            </w:r>
          </w:p>
        </w:tc>
        <w:tc>
          <w:tcPr>
            <w:tcW w:w="3686" w:type="dxa"/>
          </w:tcPr>
          <w:p w14:paraId="01447781" w14:textId="374BDFD5" w:rsidR="006158DB" w:rsidRDefault="006158DB">
            <w:r>
              <w:rPr>
                <w:color w:val="000000"/>
                <w:shd w:val="clear" w:color="auto" w:fill="FFFFFF"/>
              </w:rPr>
              <w:t>Suy thận cấp tính là tính trạng thận bị suy giảm chức năng một cách đột ngột, mất đi khả năng đào thải cặn chất ra khỏi cơ thể. </w:t>
            </w:r>
          </w:p>
        </w:tc>
        <w:tc>
          <w:tcPr>
            <w:tcW w:w="4201" w:type="dxa"/>
          </w:tcPr>
          <w:p w14:paraId="3AA951CD" w14:textId="2DA4201B" w:rsidR="006158DB" w:rsidRDefault="006158DB">
            <w:r>
              <w:rPr>
                <w:color w:val="000000"/>
                <w:shd w:val="clear" w:color="auto" w:fill="FFFFFF"/>
              </w:rPr>
              <w:t>Bệnh thận mãn tính (suy thận mãn tính) được hiểu là chức năng thận bị suy giảm hoặc ngừng hoạt động. Theo đó thận không thể đào thải các chất độc và dịch thừa ra khỏi máu. Khi mà tình trạng suy giảm chức năng này kéo dài trên 3 tháng và không được điều trị khỏi thì bệnh đang ở giai đoạn mãn tính. </w:t>
            </w:r>
          </w:p>
        </w:tc>
      </w:tr>
      <w:tr w:rsidR="006158DB" w14:paraId="4453F15D" w14:textId="77777777" w:rsidTr="006158DB">
        <w:tc>
          <w:tcPr>
            <w:tcW w:w="1129" w:type="dxa"/>
          </w:tcPr>
          <w:p w14:paraId="64D8543F" w14:textId="52587ECD" w:rsidR="006158DB" w:rsidRDefault="006158DB">
            <w:r>
              <w:t>Khả năng hồi phụ</w:t>
            </w:r>
          </w:p>
        </w:tc>
        <w:tc>
          <w:tcPr>
            <w:tcW w:w="3686" w:type="dxa"/>
          </w:tcPr>
          <w:p w14:paraId="6F70878B" w14:textId="1D599AC2" w:rsidR="006158DB" w:rsidRDefault="006158DB">
            <w:r>
              <w:t>Có thể hồi phục</w:t>
            </w:r>
          </w:p>
        </w:tc>
        <w:tc>
          <w:tcPr>
            <w:tcW w:w="4201" w:type="dxa"/>
          </w:tcPr>
          <w:p w14:paraId="4B0CC7A5" w14:textId="3D469020" w:rsidR="006158DB" w:rsidRDefault="006158DB">
            <w:r>
              <w:t>Không thể hồi phục</w:t>
            </w:r>
          </w:p>
        </w:tc>
      </w:tr>
      <w:tr w:rsidR="006158DB" w14:paraId="62A287CA" w14:textId="77777777" w:rsidTr="006158DB">
        <w:tc>
          <w:tcPr>
            <w:tcW w:w="1129" w:type="dxa"/>
          </w:tcPr>
          <w:p w14:paraId="53D8E7B0" w14:textId="6B6DD92A" w:rsidR="006158DB" w:rsidRDefault="006158DB">
            <w:r>
              <w:t>Thời gian</w:t>
            </w:r>
          </w:p>
        </w:tc>
        <w:tc>
          <w:tcPr>
            <w:tcW w:w="3686" w:type="dxa"/>
          </w:tcPr>
          <w:p w14:paraId="635F5041" w14:textId="2B72EDA1" w:rsidR="006158DB" w:rsidRDefault="006158DB">
            <w:r>
              <w:rPr>
                <w:color w:val="000000"/>
                <w:shd w:val="clear" w:color="auto" w:fill="FFFFFF"/>
              </w:rPr>
              <w:t>Vài giờ hoặc vài ngày.</w:t>
            </w:r>
          </w:p>
        </w:tc>
        <w:tc>
          <w:tcPr>
            <w:tcW w:w="4201" w:type="dxa"/>
          </w:tcPr>
          <w:p w14:paraId="5A96B4CA" w14:textId="04995CD9" w:rsidR="006158DB" w:rsidRDefault="006158DB">
            <w:r>
              <w:t>Nhiều tháng, nhiều năm</w:t>
            </w:r>
          </w:p>
        </w:tc>
      </w:tr>
      <w:tr w:rsidR="006158DB" w14:paraId="57087015" w14:textId="77777777" w:rsidTr="006158DB">
        <w:tc>
          <w:tcPr>
            <w:tcW w:w="1129" w:type="dxa"/>
          </w:tcPr>
          <w:p w14:paraId="1A7106B6" w14:textId="64113FC9" w:rsidR="006158DB" w:rsidRDefault="006158DB">
            <w:r>
              <w:t>Nguyên nhân</w:t>
            </w:r>
          </w:p>
        </w:tc>
        <w:tc>
          <w:tcPr>
            <w:tcW w:w="3686" w:type="dxa"/>
          </w:tcPr>
          <w:p w14:paraId="479F37B9" w14:textId="1AA4A4BF" w:rsidR="006158DB" w:rsidRPr="006158DB" w:rsidRDefault="006158DB" w:rsidP="006158DB">
            <w:pPr>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Trước thận, tại thận, sau thận</w:t>
            </w:r>
          </w:p>
          <w:p w14:paraId="10404B7E" w14:textId="2C7521D7" w:rsidR="006158DB" w:rsidRDefault="006158DB"/>
        </w:tc>
        <w:tc>
          <w:tcPr>
            <w:tcW w:w="4201" w:type="dxa"/>
          </w:tcPr>
          <w:p w14:paraId="163A14F1" w14:textId="288A4CB2" w:rsidR="006158DB" w:rsidRPr="006158DB" w:rsidRDefault="006158DB" w:rsidP="006158DB">
            <w:pPr>
              <w:jc w:val="both"/>
              <w:textAlignment w:val="baseline"/>
              <w:rPr>
                <w:rFonts w:ascii="Times New Roman" w:eastAsia="Times New Roman" w:hAnsi="Times New Roman" w:cs="Times New Roman"/>
                <w:color w:val="000000"/>
                <w:sz w:val="24"/>
                <w:szCs w:val="24"/>
                <w:lang w:eastAsia="en-GB"/>
              </w:rPr>
            </w:pPr>
            <w:r w:rsidRPr="006158DB">
              <w:rPr>
                <w:rFonts w:ascii="Times New Roman" w:eastAsia="Times New Roman" w:hAnsi="Times New Roman" w:cs="Times New Roman"/>
                <w:color w:val="000000"/>
                <w:sz w:val="24"/>
                <w:szCs w:val="24"/>
                <w:lang w:eastAsia="en-GB"/>
              </w:rPr>
              <w:t>Các bệnh lý sẵn có trong cơ</w:t>
            </w:r>
            <w:r>
              <w:rPr>
                <w:rFonts w:ascii="Times New Roman" w:eastAsia="Times New Roman" w:hAnsi="Times New Roman" w:cs="Times New Roman"/>
                <w:color w:val="000000"/>
                <w:sz w:val="24"/>
                <w:szCs w:val="24"/>
                <w:lang w:eastAsia="en-GB"/>
              </w:rPr>
              <w:t xml:space="preserve"> </w:t>
            </w:r>
            <w:r w:rsidRPr="006158DB">
              <w:rPr>
                <w:rFonts w:ascii="Times New Roman" w:eastAsia="Times New Roman" w:hAnsi="Times New Roman" w:cs="Times New Roman"/>
                <w:color w:val="000000"/>
                <w:sz w:val="24"/>
                <w:szCs w:val="24"/>
                <w:lang w:eastAsia="en-GB"/>
              </w:rPr>
              <w:t>thể người bệnh như: bệnh tiểu đường tuýp 1 hoặc 2 hoặc huyết áp cao.</w:t>
            </w:r>
          </w:p>
          <w:p w14:paraId="4D42322C" w14:textId="77777777" w:rsidR="006158DB" w:rsidRPr="006158DB" w:rsidRDefault="006158DB" w:rsidP="006158DB">
            <w:pPr>
              <w:jc w:val="both"/>
              <w:textAlignment w:val="baseline"/>
              <w:rPr>
                <w:rFonts w:ascii="Times New Roman" w:eastAsia="Times New Roman" w:hAnsi="Times New Roman" w:cs="Times New Roman"/>
                <w:color w:val="000000"/>
                <w:sz w:val="24"/>
                <w:szCs w:val="24"/>
                <w:lang w:eastAsia="en-GB"/>
              </w:rPr>
            </w:pPr>
            <w:r w:rsidRPr="006158DB">
              <w:rPr>
                <w:rFonts w:ascii="Times New Roman" w:eastAsia="Times New Roman" w:hAnsi="Times New Roman" w:cs="Times New Roman"/>
                <w:color w:val="000000"/>
                <w:sz w:val="24"/>
                <w:szCs w:val="24"/>
                <w:lang w:eastAsia="en-GB"/>
              </w:rPr>
              <w:t>Các bệnh lý liên quan đến thận sẵn có cũng khiến cho nguy cơ mắc bệnh suy thận mạn tính gia tăng bao gồm: Viêm cầu thận, viêm các đơn vị lọc của thận (cầu thận), viêm thận kẽ, viêm ống thận và các cấu trúc xung quanh, bệnh thận đa nang...</w:t>
            </w:r>
          </w:p>
          <w:p w14:paraId="7F8BACE7" w14:textId="2F965FFA" w:rsidR="006158DB" w:rsidRPr="006158DB" w:rsidRDefault="006158DB" w:rsidP="006158DB">
            <w:pPr>
              <w:jc w:val="both"/>
              <w:textAlignment w:val="baseline"/>
              <w:rPr>
                <w:rFonts w:ascii="Times New Roman" w:eastAsia="Times New Roman" w:hAnsi="Times New Roman" w:cs="Times New Roman"/>
                <w:color w:val="000000"/>
                <w:sz w:val="24"/>
                <w:szCs w:val="24"/>
                <w:lang w:eastAsia="en-GB"/>
              </w:rPr>
            </w:pPr>
            <w:r w:rsidRPr="006158DB">
              <w:rPr>
                <w:rFonts w:ascii="Times New Roman" w:eastAsia="Times New Roman" w:hAnsi="Times New Roman" w:cs="Times New Roman"/>
                <w:color w:val="000000"/>
                <w:sz w:val="24"/>
                <w:szCs w:val="24"/>
                <w:lang w:eastAsia="en-GB"/>
              </w:rPr>
              <w:t>Ngoài các nguyên nhân kể trên, người mắc phải bệnh suy thận mãn tính còn được cho là bởi các nguyên do sau: Trào ngược Vesicoureteral (VUR), viêm bể thận (hay còn được gọi là nhiễm trùng thận tái phát), tắc nghẽn đường tiết niệu kéo dài...</w:t>
            </w:r>
          </w:p>
          <w:p w14:paraId="0D9CE4F6" w14:textId="77777777" w:rsidR="006158DB" w:rsidRDefault="006158DB"/>
        </w:tc>
      </w:tr>
      <w:tr w:rsidR="006158DB" w14:paraId="44DEF24F" w14:textId="77777777" w:rsidTr="006158DB">
        <w:tc>
          <w:tcPr>
            <w:tcW w:w="1129" w:type="dxa"/>
          </w:tcPr>
          <w:p w14:paraId="1723B460" w14:textId="6E37DC29" w:rsidR="006158DB" w:rsidRDefault="003A230D">
            <w:r>
              <w:t>Diễn tiến của Creatinin HT</w:t>
            </w:r>
          </w:p>
        </w:tc>
        <w:tc>
          <w:tcPr>
            <w:tcW w:w="3686" w:type="dxa"/>
          </w:tcPr>
          <w:p w14:paraId="616C988A" w14:textId="77777777" w:rsidR="006158DB" w:rsidRDefault="00097972">
            <w:r>
              <w:t>Có 3 giai đoạn:</w:t>
            </w:r>
          </w:p>
          <w:p w14:paraId="79CA1351" w14:textId="77777777" w:rsidR="00097972" w:rsidRDefault="00097972" w:rsidP="00097972">
            <w:r>
              <w:t>Stage 1: ≥ 0,3 mg/dL hoặc ≥ 50%</w:t>
            </w:r>
          </w:p>
          <w:p w14:paraId="194DD18C" w14:textId="77777777" w:rsidR="00097972" w:rsidRDefault="00097972" w:rsidP="00097972">
            <w:r>
              <w:t xml:space="preserve">Stage 2: </w:t>
            </w:r>
            <w:r w:rsidRPr="00097972">
              <w:t>≥ 100%</w:t>
            </w:r>
          </w:p>
          <w:p w14:paraId="79C0B0BD" w14:textId="7D987EF5" w:rsidR="00097972" w:rsidRDefault="00097972" w:rsidP="00097972">
            <w:r>
              <w:t xml:space="preserve">Stage 3: </w:t>
            </w:r>
            <w:r w:rsidRPr="00097972">
              <w:t>≥ 200%</w:t>
            </w:r>
          </w:p>
        </w:tc>
        <w:tc>
          <w:tcPr>
            <w:tcW w:w="4201" w:type="dxa"/>
          </w:tcPr>
          <w:p w14:paraId="70493E10" w14:textId="1029D328" w:rsidR="006158DB" w:rsidRDefault="00097972">
            <w:r w:rsidRPr="00097972">
              <w:t>ACR &gt; 30mg/g</w:t>
            </w:r>
            <w:r>
              <w:t xml:space="preserve"> kéo dài trong </w:t>
            </w:r>
            <w:r w:rsidRPr="00097972">
              <w:t>≥</w:t>
            </w:r>
            <w:r>
              <w:t xml:space="preserve"> 3 tháng</w:t>
            </w:r>
          </w:p>
        </w:tc>
      </w:tr>
    </w:tbl>
    <w:p w14:paraId="39341A33" w14:textId="77777777" w:rsidR="006158DB" w:rsidRDefault="006158DB"/>
    <w:p w14:paraId="0805141C" w14:textId="21497204" w:rsidR="00537015" w:rsidRDefault="00537015">
      <w:r>
        <w:t xml:space="preserve">2. </w:t>
      </w:r>
      <w:r w:rsidRPr="00537015">
        <w:t>Phân biệt bệnh thận mạn do đái tháo đường và không do đái tháo đường</w:t>
      </w:r>
      <w:r>
        <w:t>.</w:t>
      </w:r>
    </w:p>
    <w:p w14:paraId="19A7C970" w14:textId="3438B387" w:rsidR="00537015" w:rsidRDefault="00FA72B6">
      <w:pPr>
        <w:rPr>
          <w:rFonts w:cstheme="minorHAnsi"/>
          <w:color w:val="333333"/>
          <w:sz w:val="23"/>
          <w:szCs w:val="23"/>
          <w:shd w:val="clear" w:color="auto" w:fill="FFFFFF"/>
        </w:rPr>
      </w:pPr>
      <w:hyperlink r:id="rId5" w:history="1">
        <w:r w:rsidR="00537015" w:rsidRPr="004307D7">
          <w:rPr>
            <w:rStyle w:val="Hyperlink"/>
            <w:rFonts w:cstheme="minorHAnsi"/>
            <w:color w:val="0066A6"/>
            <w:sz w:val="23"/>
            <w:szCs w:val="23"/>
            <w:shd w:val="clear" w:color="auto" w:fill="FFFFFF"/>
          </w:rPr>
          <w:t>Bệnh thận đái tháo đường</w:t>
        </w:r>
      </w:hyperlink>
      <w:r w:rsidR="00537015" w:rsidRPr="004307D7">
        <w:rPr>
          <w:rFonts w:cstheme="minorHAnsi"/>
          <w:color w:val="333333"/>
          <w:sz w:val="23"/>
          <w:szCs w:val="23"/>
          <w:shd w:val="clear" w:color="auto" w:fill="FFFFFF"/>
        </w:rPr>
        <w:t> là biến chứng xảy ra ở một số bệnh nhân mắc bệnh đái tháo đường, có thể tiến triển thành suy thận nếu không được điều trị kịp thời</w:t>
      </w:r>
      <w:r w:rsidR="006158DB" w:rsidRPr="004307D7">
        <w:rPr>
          <w:rFonts w:cstheme="minorHAnsi"/>
          <w:color w:val="333333"/>
          <w:sz w:val="23"/>
          <w:szCs w:val="23"/>
          <w:shd w:val="clear" w:color="auto" w:fill="FFFFFF"/>
        </w:rPr>
        <w:t>. Và vì vậy mà bệnh thận phải xảy ra sau khi bệnh nhân mắc đái tháo đường 1 thời gian lâu thì mới gây ra biến chứng bệnh thận được.</w:t>
      </w:r>
    </w:p>
    <w:tbl>
      <w:tblPr>
        <w:tblStyle w:val="TableGrid"/>
        <w:tblW w:w="0" w:type="auto"/>
        <w:tblLook w:val="04A0" w:firstRow="1" w:lastRow="0" w:firstColumn="1" w:lastColumn="0" w:noHBand="0" w:noVBand="1"/>
      </w:tblPr>
      <w:tblGrid>
        <w:gridCol w:w="1129"/>
        <w:gridCol w:w="3828"/>
        <w:gridCol w:w="4059"/>
      </w:tblGrid>
      <w:tr w:rsidR="004307D7" w14:paraId="2603EDC7" w14:textId="77777777" w:rsidTr="004307D7">
        <w:tc>
          <w:tcPr>
            <w:tcW w:w="1129" w:type="dxa"/>
          </w:tcPr>
          <w:p w14:paraId="016CB312" w14:textId="77777777" w:rsidR="004307D7" w:rsidRDefault="004307D7">
            <w:pPr>
              <w:rPr>
                <w:rFonts w:cstheme="minorHAnsi"/>
              </w:rPr>
            </w:pPr>
          </w:p>
        </w:tc>
        <w:tc>
          <w:tcPr>
            <w:tcW w:w="3828" w:type="dxa"/>
          </w:tcPr>
          <w:p w14:paraId="421E703D" w14:textId="50B1F82A" w:rsidR="004307D7" w:rsidRDefault="004307D7">
            <w:pPr>
              <w:rPr>
                <w:rFonts w:cstheme="minorHAnsi"/>
              </w:rPr>
            </w:pPr>
            <w:r>
              <w:rPr>
                <w:rFonts w:cstheme="minorHAnsi"/>
              </w:rPr>
              <w:t>Bệnh thận ĐTĐ</w:t>
            </w:r>
          </w:p>
        </w:tc>
        <w:tc>
          <w:tcPr>
            <w:tcW w:w="4059" w:type="dxa"/>
          </w:tcPr>
          <w:p w14:paraId="24C49E91" w14:textId="2EE2CA4D" w:rsidR="004307D7" w:rsidRDefault="004307D7">
            <w:pPr>
              <w:rPr>
                <w:rFonts w:cstheme="minorHAnsi"/>
              </w:rPr>
            </w:pPr>
            <w:r>
              <w:rPr>
                <w:rFonts w:cstheme="minorHAnsi"/>
              </w:rPr>
              <w:t>Bệnh thận không ĐTĐ</w:t>
            </w:r>
          </w:p>
        </w:tc>
      </w:tr>
      <w:tr w:rsidR="004307D7" w14:paraId="4F12CB9B" w14:textId="77777777" w:rsidTr="004307D7">
        <w:tc>
          <w:tcPr>
            <w:tcW w:w="1129" w:type="dxa"/>
          </w:tcPr>
          <w:p w14:paraId="7FC5C19B" w14:textId="5AA88C91" w:rsidR="004307D7" w:rsidRDefault="004307D7">
            <w:pPr>
              <w:rPr>
                <w:rFonts w:cstheme="minorHAnsi"/>
              </w:rPr>
            </w:pPr>
            <w:r>
              <w:rPr>
                <w:rFonts w:cstheme="minorHAnsi"/>
              </w:rPr>
              <w:t>Thời gian</w:t>
            </w:r>
          </w:p>
        </w:tc>
        <w:tc>
          <w:tcPr>
            <w:tcW w:w="3828" w:type="dxa"/>
          </w:tcPr>
          <w:p w14:paraId="60A1611A" w14:textId="6E82E2DE" w:rsidR="004307D7" w:rsidRDefault="004307D7">
            <w:pPr>
              <w:rPr>
                <w:rFonts w:cstheme="minorHAnsi"/>
              </w:rPr>
            </w:pPr>
            <w:r>
              <w:rPr>
                <w:rFonts w:cstheme="minorHAnsi"/>
              </w:rPr>
              <w:t>Xảy ra sau khi bị bệnh ĐTĐ</w:t>
            </w:r>
          </w:p>
        </w:tc>
        <w:tc>
          <w:tcPr>
            <w:tcW w:w="4059" w:type="dxa"/>
          </w:tcPr>
          <w:p w14:paraId="2A16FDC9" w14:textId="04B15C2A" w:rsidR="004307D7" w:rsidRDefault="004307D7">
            <w:pPr>
              <w:rPr>
                <w:rFonts w:cstheme="minorHAnsi"/>
              </w:rPr>
            </w:pPr>
            <w:r>
              <w:rPr>
                <w:rFonts w:cstheme="minorHAnsi"/>
              </w:rPr>
              <w:t>Có thể trước</w:t>
            </w:r>
            <w:r w:rsidR="00FA72B6">
              <w:rPr>
                <w:rFonts w:cstheme="minorHAnsi"/>
              </w:rPr>
              <w:t xml:space="preserve"> </w:t>
            </w:r>
            <w:r>
              <w:rPr>
                <w:rFonts w:cstheme="minorHAnsi"/>
              </w:rPr>
              <w:t>hoặc sau khi bị bệnh ĐTĐ</w:t>
            </w:r>
          </w:p>
        </w:tc>
      </w:tr>
      <w:tr w:rsidR="004307D7" w14:paraId="60845AB7" w14:textId="77777777" w:rsidTr="004307D7">
        <w:tc>
          <w:tcPr>
            <w:tcW w:w="1129" w:type="dxa"/>
          </w:tcPr>
          <w:p w14:paraId="1F19CD01" w14:textId="280BECB2" w:rsidR="004307D7" w:rsidRDefault="004307D7">
            <w:pPr>
              <w:rPr>
                <w:rFonts w:cstheme="minorHAnsi"/>
              </w:rPr>
            </w:pPr>
            <w:r>
              <w:rPr>
                <w:rFonts w:cstheme="minorHAnsi"/>
              </w:rPr>
              <w:t>Nguyên nhân</w:t>
            </w:r>
          </w:p>
        </w:tc>
        <w:tc>
          <w:tcPr>
            <w:tcW w:w="3828" w:type="dxa"/>
          </w:tcPr>
          <w:p w14:paraId="3BDA7515" w14:textId="5E2FAAA6" w:rsidR="004307D7" w:rsidRDefault="004307D7">
            <w:pPr>
              <w:rPr>
                <w:rFonts w:cstheme="minorHAnsi"/>
              </w:rPr>
            </w:pPr>
            <w:r>
              <w:rPr>
                <w:rFonts w:cstheme="minorHAnsi"/>
              </w:rPr>
              <w:t>Bệnh cầu thận</w:t>
            </w:r>
          </w:p>
        </w:tc>
        <w:tc>
          <w:tcPr>
            <w:tcW w:w="4059" w:type="dxa"/>
          </w:tcPr>
          <w:p w14:paraId="46CA78AD" w14:textId="2FB696DD" w:rsidR="004307D7" w:rsidRDefault="004307D7">
            <w:pPr>
              <w:rPr>
                <w:rFonts w:cstheme="minorHAnsi"/>
              </w:rPr>
            </w:pPr>
            <w:r>
              <w:rPr>
                <w:rFonts w:cstheme="minorHAnsi"/>
              </w:rPr>
              <w:t>Có thể là bệnh cầu thận hoặc ko phải bệnh cầu thận</w:t>
            </w:r>
          </w:p>
        </w:tc>
      </w:tr>
      <w:tr w:rsidR="00FD2AA9" w14:paraId="07173D35" w14:textId="77777777" w:rsidTr="004307D7">
        <w:tc>
          <w:tcPr>
            <w:tcW w:w="1129" w:type="dxa"/>
          </w:tcPr>
          <w:p w14:paraId="761E0582" w14:textId="6BF801EF" w:rsidR="00FD2AA9" w:rsidRDefault="00FD2AA9">
            <w:pPr>
              <w:rPr>
                <w:rFonts w:cstheme="minorHAnsi"/>
              </w:rPr>
            </w:pPr>
            <w:r>
              <w:rPr>
                <w:rFonts w:cstheme="minorHAnsi"/>
              </w:rPr>
              <w:lastRenderedPageBreak/>
              <w:t>Chẩn đoán</w:t>
            </w:r>
          </w:p>
        </w:tc>
        <w:tc>
          <w:tcPr>
            <w:tcW w:w="3828" w:type="dxa"/>
          </w:tcPr>
          <w:p w14:paraId="074ABEDD" w14:textId="77777777" w:rsidR="00FD2AA9" w:rsidRPr="00FD2AA9" w:rsidRDefault="00FD2AA9" w:rsidP="00FD2AA9">
            <w:pPr>
              <w:rPr>
                <w:rFonts w:cstheme="minorHAnsi"/>
              </w:rPr>
            </w:pPr>
            <w:r w:rsidRPr="00FD2AA9">
              <w:rPr>
                <w:rFonts w:cstheme="minorHAnsi"/>
              </w:rPr>
              <w:t xml:space="preserve">(1) tiểu albumin đại lượng (&gt;300mg/24 giờ, hoặc &gt;300mg/g) hoặc tiểu </w:t>
            </w:r>
          </w:p>
          <w:p w14:paraId="5988E9E4" w14:textId="77777777" w:rsidR="00FD2AA9" w:rsidRPr="00FD2AA9" w:rsidRDefault="00FD2AA9" w:rsidP="00FD2AA9">
            <w:pPr>
              <w:rPr>
                <w:rFonts w:cstheme="minorHAnsi"/>
              </w:rPr>
            </w:pPr>
            <w:r w:rsidRPr="00FD2AA9">
              <w:rPr>
                <w:rFonts w:cstheme="minorHAnsi"/>
              </w:rPr>
              <w:t xml:space="preserve">albumin vi  lượng (30-300mg/24 giờ  hoặc 30-300mg/g) kèm theo bệnh võng mạc do  đái tháo </w:t>
            </w:r>
          </w:p>
          <w:p w14:paraId="7481C636" w14:textId="77777777" w:rsidR="00FD2AA9" w:rsidRPr="00FD2AA9" w:rsidRDefault="00FD2AA9" w:rsidP="00FD2AA9">
            <w:pPr>
              <w:rPr>
                <w:rFonts w:cstheme="minorHAnsi"/>
              </w:rPr>
            </w:pPr>
            <w:r w:rsidRPr="00FD2AA9">
              <w:rPr>
                <w:rFonts w:cstheme="minorHAnsi"/>
              </w:rPr>
              <w:t xml:space="preserve">đường; hoặc (2) tiểu albumin vi lượng trên bệnh nhân đái tháo đường típ 1 kéo dài trên 10 năm; </w:t>
            </w:r>
          </w:p>
          <w:p w14:paraId="78C642E9" w14:textId="319E0585" w:rsidR="00FD2AA9" w:rsidRDefault="00FD2AA9" w:rsidP="00FD2AA9">
            <w:pPr>
              <w:rPr>
                <w:rFonts w:cstheme="minorHAnsi"/>
              </w:rPr>
            </w:pPr>
            <w:r w:rsidRPr="00FD2AA9">
              <w:rPr>
                <w:rFonts w:cstheme="minorHAnsi"/>
              </w:rPr>
              <w:t>hoặc (3) chẩn đoán bằng cách loại trừ các bệnh thận khác trên bệnh nhân bị đái tháo đường</w:t>
            </w:r>
          </w:p>
        </w:tc>
        <w:tc>
          <w:tcPr>
            <w:tcW w:w="4059" w:type="dxa"/>
          </w:tcPr>
          <w:p w14:paraId="4CC24C94" w14:textId="77777777" w:rsidR="00FA72B6" w:rsidRPr="00FA72B6" w:rsidRDefault="00FA72B6" w:rsidP="00FA72B6">
            <w:pPr>
              <w:rPr>
                <w:rFonts w:cstheme="minorHAnsi"/>
              </w:rPr>
            </w:pPr>
            <w:r w:rsidRPr="00FA72B6">
              <w:rPr>
                <w:rFonts w:cstheme="minorHAnsi"/>
              </w:rPr>
              <w:t xml:space="preserve">Bệnh thận mạn được xác định là các bất thường về cấu trúc hoặc chức năng, tồn tại &gt;3 </w:t>
            </w:r>
          </w:p>
          <w:p w14:paraId="5500B789" w14:textId="77777777" w:rsidR="00FA72B6" w:rsidRPr="00FA72B6" w:rsidRDefault="00FA72B6" w:rsidP="00FA72B6">
            <w:pPr>
              <w:rPr>
                <w:rFonts w:cstheme="minorHAnsi"/>
              </w:rPr>
            </w:pPr>
            <w:r w:rsidRPr="00FA72B6">
              <w:rPr>
                <w:rFonts w:cstheme="minorHAnsi"/>
              </w:rPr>
              <w:t xml:space="preserve">tháng, ảnh hưởng đến sức khỏe. </w:t>
            </w:r>
          </w:p>
          <w:p w14:paraId="178DE095" w14:textId="77777777" w:rsidR="00FA72B6" w:rsidRPr="00FA72B6" w:rsidRDefault="00FA72B6" w:rsidP="00FA72B6">
            <w:pPr>
              <w:rPr>
                <w:rFonts w:cstheme="minorHAnsi"/>
              </w:rPr>
            </w:pPr>
            <w:r w:rsidRPr="00FA72B6">
              <w:rPr>
                <w:rFonts w:cstheme="minorHAnsi"/>
              </w:rPr>
              <w:t xml:space="preserve">Bất kỳ tiêu chuẩn nào sau đây tồn tại kéo dài &gt; 3 tháng </w:t>
            </w:r>
          </w:p>
          <w:p w14:paraId="38ED777D" w14:textId="77777777" w:rsidR="00FA72B6" w:rsidRPr="00FA72B6" w:rsidRDefault="00FA72B6" w:rsidP="00FA72B6">
            <w:pPr>
              <w:rPr>
                <w:rFonts w:cstheme="minorHAnsi"/>
              </w:rPr>
            </w:pPr>
            <w:r w:rsidRPr="00FA72B6">
              <w:rPr>
                <w:rFonts w:cstheme="minorHAnsi"/>
              </w:rPr>
              <w:t xml:space="preserve">-  Dấu chứng của tổn thương thận </w:t>
            </w:r>
          </w:p>
          <w:p w14:paraId="090DDB91" w14:textId="77777777" w:rsidR="00FA72B6" w:rsidRPr="00FA72B6" w:rsidRDefault="00FA72B6" w:rsidP="00FA72B6">
            <w:pPr>
              <w:rPr>
                <w:rFonts w:cstheme="minorHAnsi"/>
              </w:rPr>
            </w:pPr>
            <w:r w:rsidRPr="00FA72B6">
              <w:rPr>
                <w:rFonts w:cstheme="minorHAnsi"/>
              </w:rPr>
              <w:t xml:space="preserve">•  Albumine niệu &gt; 30mg/24 giờ, hoặc ACR &gt; 30mg/g </w:t>
            </w:r>
          </w:p>
          <w:p w14:paraId="73AD0564" w14:textId="77777777" w:rsidR="00FA72B6" w:rsidRPr="00FA72B6" w:rsidRDefault="00FA72B6" w:rsidP="00FA72B6">
            <w:pPr>
              <w:rPr>
                <w:rFonts w:cstheme="minorHAnsi"/>
              </w:rPr>
            </w:pPr>
            <w:r w:rsidRPr="00FA72B6">
              <w:rPr>
                <w:rFonts w:cstheme="minorHAnsi"/>
              </w:rPr>
              <w:t xml:space="preserve">•  Cặn lắng nước tiểu bất thường  •  Điện giải và bất thường khác do bệnh lý ống thận  </w:t>
            </w:r>
          </w:p>
          <w:p w14:paraId="4FB4C49D" w14:textId="77777777" w:rsidR="00FA72B6" w:rsidRPr="00FA72B6" w:rsidRDefault="00FA72B6" w:rsidP="00FA72B6">
            <w:pPr>
              <w:rPr>
                <w:rFonts w:cstheme="minorHAnsi"/>
              </w:rPr>
            </w:pPr>
            <w:r w:rsidRPr="00FA72B6">
              <w:rPr>
                <w:rFonts w:cstheme="minorHAnsi"/>
              </w:rPr>
              <w:t xml:space="preserve">•  Bất thường mô bệnh học (sinh thiết thận)  </w:t>
            </w:r>
          </w:p>
          <w:p w14:paraId="64E79B77" w14:textId="77777777" w:rsidR="00FA72B6" w:rsidRPr="00FA72B6" w:rsidRDefault="00FA72B6" w:rsidP="00FA72B6">
            <w:pPr>
              <w:rPr>
                <w:rFonts w:cstheme="minorHAnsi"/>
              </w:rPr>
            </w:pPr>
            <w:r w:rsidRPr="00FA72B6">
              <w:rPr>
                <w:rFonts w:cstheme="minorHAnsi"/>
              </w:rPr>
              <w:t xml:space="preserve">•  Bất thường cấu trúc thận dựa vào hình ảnh học </w:t>
            </w:r>
          </w:p>
          <w:p w14:paraId="24441BAB" w14:textId="77777777" w:rsidR="00FA72B6" w:rsidRPr="00FA72B6" w:rsidRDefault="00FA72B6" w:rsidP="00FA72B6">
            <w:pPr>
              <w:rPr>
                <w:rFonts w:cstheme="minorHAnsi"/>
              </w:rPr>
            </w:pPr>
            <w:r w:rsidRPr="00FA72B6">
              <w:rPr>
                <w:rFonts w:cstheme="minorHAnsi"/>
              </w:rPr>
              <w:t xml:space="preserve">•  Tiền căn có ghép thận </w:t>
            </w:r>
          </w:p>
          <w:p w14:paraId="63E63720" w14:textId="77777777" w:rsidR="00FA72B6" w:rsidRPr="00FA72B6" w:rsidRDefault="00FA72B6" w:rsidP="00FA72B6">
            <w:pPr>
              <w:rPr>
                <w:rFonts w:cstheme="minorHAnsi"/>
              </w:rPr>
            </w:pPr>
            <w:r w:rsidRPr="00FA72B6">
              <w:rPr>
                <w:rFonts w:cstheme="minorHAnsi"/>
              </w:rPr>
              <w:t>-  Giảm GFR &lt; 60 ml/min/1.73 m2</w:t>
            </w:r>
          </w:p>
          <w:p w14:paraId="6901DA0E" w14:textId="11DDB5D2" w:rsidR="00FD2AA9" w:rsidRDefault="00FA72B6" w:rsidP="00FA72B6">
            <w:pPr>
              <w:rPr>
                <w:rFonts w:cstheme="minorHAnsi"/>
              </w:rPr>
            </w:pPr>
            <w:r w:rsidRPr="00FA72B6">
              <w:rPr>
                <w:rFonts w:cstheme="minorHAnsi"/>
              </w:rPr>
              <w:t xml:space="preserve"> (G3a–G5)</w:t>
            </w:r>
          </w:p>
        </w:tc>
      </w:tr>
    </w:tbl>
    <w:p w14:paraId="7E4C2206" w14:textId="336A5AC2" w:rsidR="004307D7" w:rsidRPr="004307D7" w:rsidRDefault="004307D7">
      <w:pPr>
        <w:rPr>
          <w:rFonts w:cstheme="minorHAnsi"/>
        </w:rPr>
      </w:pPr>
    </w:p>
    <w:sectPr w:rsidR="004307D7" w:rsidRPr="00430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57C7F"/>
    <w:multiLevelType w:val="multilevel"/>
    <w:tmpl w:val="EC5A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B04BC"/>
    <w:multiLevelType w:val="multilevel"/>
    <w:tmpl w:val="A52A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15"/>
    <w:rsid w:val="00097972"/>
    <w:rsid w:val="003A230D"/>
    <w:rsid w:val="004307D7"/>
    <w:rsid w:val="00537015"/>
    <w:rsid w:val="006158DB"/>
    <w:rsid w:val="00E41B68"/>
    <w:rsid w:val="00FA72B6"/>
    <w:rsid w:val="00FD2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807D"/>
  <w15:chartTrackingRefBased/>
  <w15:docId w15:val="{0DB8FE31-2C65-4D08-89AB-2078A97E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7015"/>
    <w:rPr>
      <w:color w:val="0000FF"/>
      <w:u w:val="single"/>
    </w:rPr>
  </w:style>
  <w:style w:type="table" w:styleId="TableGrid">
    <w:name w:val="Table Grid"/>
    <w:basedOn w:val="TableNormal"/>
    <w:uiPriority w:val="39"/>
    <w:rsid w:val="00615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54367">
      <w:bodyDiv w:val="1"/>
      <w:marLeft w:val="0"/>
      <w:marRight w:val="0"/>
      <w:marTop w:val="0"/>
      <w:marBottom w:val="0"/>
      <w:divBdr>
        <w:top w:val="none" w:sz="0" w:space="0" w:color="auto"/>
        <w:left w:val="none" w:sz="0" w:space="0" w:color="auto"/>
        <w:bottom w:val="none" w:sz="0" w:space="0" w:color="auto"/>
        <w:right w:val="none" w:sz="0" w:space="0" w:color="auto"/>
      </w:divBdr>
    </w:div>
    <w:div w:id="118039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nmec.com/tin-tuc/thong-tin-suc-khoe/canh-giac-voi-bien-chung-benh-than-o-nguoi-mac-dai-thao-du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HuyHoang</dc:creator>
  <cp:keywords/>
  <dc:description/>
  <cp:lastModifiedBy>Nguyen HuyHoang</cp:lastModifiedBy>
  <cp:revision>5</cp:revision>
  <dcterms:created xsi:type="dcterms:W3CDTF">2021-06-15T12:24:00Z</dcterms:created>
  <dcterms:modified xsi:type="dcterms:W3CDTF">2021-06-15T14:27:00Z</dcterms:modified>
</cp:coreProperties>
</file>