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F86BB" w14:textId="205ED1F0" w:rsidR="00FB5839" w:rsidRPr="00FB5839" w:rsidRDefault="00FB5839" w:rsidP="00FB5839">
      <w:pPr>
        <w:jc w:val="center"/>
        <w:rPr>
          <w:b/>
          <w:bCs/>
          <w:sz w:val="44"/>
          <w:szCs w:val="44"/>
        </w:rPr>
      </w:pPr>
      <w:r w:rsidRPr="00FB5839">
        <w:rPr>
          <w:b/>
          <w:bCs/>
          <w:sz w:val="44"/>
          <w:szCs w:val="44"/>
        </w:rPr>
        <w:t>Phân tích dịch màng phổi</w:t>
      </w:r>
    </w:p>
    <w:p w14:paraId="3B5978F0" w14:textId="35A62506" w:rsidR="00FB5839" w:rsidRDefault="00FB5839" w:rsidP="00FB5839">
      <w:pPr>
        <w:jc w:val="center"/>
        <w:rPr>
          <w:b/>
          <w:bCs/>
        </w:rPr>
      </w:pPr>
      <w:r>
        <w:rPr>
          <w:b/>
          <w:bCs/>
        </w:rPr>
        <w:t>Bài giảng Cận lâm sàng Hè</w:t>
      </w:r>
    </w:p>
    <w:p w14:paraId="41E73750" w14:textId="130B4B18" w:rsidR="00FB5839" w:rsidRDefault="00FB5839" w:rsidP="00FB5839">
      <w:pPr>
        <w:jc w:val="center"/>
        <w:rPr>
          <w:b/>
          <w:bCs/>
        </w:rPr>
      </w:pPr>
      <w:r>
        <w:rPr>
          <w:b/>
          <w:bCs/>
        </w:rPr>
        <w:t>ThS. BS. DƯƠNG Duy Khoa</w:t>
      </w:r>
    </w:p>
    <w:p w14:paraId="60F11936" w14:textId="77777777" w:rsidR="00FB5839" w:rsidRDefault="00FB5839" w:rsidP="008E315F">
      <w:pPr>
        <w:rPr>
          <w:b/>
          <w:bCs/>
        </w:rPr>
      </w:pPr>
    </w:p>
    <w:p w14:paraId="4AB14323" w14:textId="46792E0E" w:rsidR="00DC1233" w:rsidRDefault="00DC1233" w:rsidP="008E315F">
      <w:pPr>
        <w:rPr>
          <w:b/>
          <w:bCs/>
        </w:rPr>
      </w:pPr>
      <w:r>
        <w:rPr>
          <w:b/>
          <w:bCs/>
        </w:rPr>
        <w:t>Mục tiêu</w:t>
      </w:r>
    </w:p>
    <w:p w14:paraId="31E8A062" w14:textId="0FBF1E48" w:rsidR="00FB5839" w:rsidRPr="00FB5839" w:rsidRDefault="00FB5839" w:rsidP="008E315F">
      <w:r w:rsidRPr="00FB5839">
        <w:t>Sau khi học xong, sinh viên có thể:</w:t>
      </w:r>
    </w:p>
    <w:p w14:paraId="13AD6061" w14:textId="6B11AF62" w:rsidR="00DC1233" w:rsidRPr="00FB5839" w:rsidRDefault="00DC1233" w:rsidP="008E315F">
      <w:r w:rsidRPr="00FB5839">
        <w:t>1/ Tiếp cận bệnh nhân có hội chứng ba giảm</w:t>
      </w:r>
    </w:p>
    <w:p w14:paraId="00C7AEE1" w14:textId="122D8EC1" w:rsidR="00DC1233" w:rsidRPr="00FB5839" w:rsidRDefault="00DC1233" w:rsidP="008E315F">
      <w:r w:rsidRPr="00FB5839">
        <w:t>2/ Phân tích các xét nghiệm dịch màng phổi thường quy, hoặc thường gặp</w:t>
      </w:r>
    </w:p>
    <w:p w14:paraId="78CA3E94" w14:textId="635F6429" w:rsidR="00DC1233" w:rsidRPr="00FB5839" w:rsidRDefault="00DC1233" w:rsidP="008E315F">
      <w:r w:rsidRPr="00FB5839">
        <w:t xml:space="preserve">3/ </w:t>
      </w:r>
      <w:r w:rsidR="00FB5839" w:rsidRPr="00FB5839">
        <w:t>Chỉ định được các xét nghiệm bổ sung khi cần thiết</w:t>
      </w:r>
    </w:p>
    <w:p w14:paraId="49D058DB" w14:textId="2482D850" w:rsidR="008E315F" w:rsidRPr="00DC1233" w:rsidRDefault="008E315F" w:rsidP="008E315F">
      <w:pPr>
        <w:rPr>
          <w:b/>
          <w:bCs/>
        </w:rPr>
      </w:pPr>
      <w:r w:rsidRPr="00DC1233">
        <w:rPr>
          <w:b/>
          <w:bCs/>
        </w:rPr>
        <w:t>Bài đọc trước khi vào lớp học</w:t>
      </w:r>
    </w:p>
    <w:p w14:paraId="2AFB349C" w14:textId="193CC965" w:rsidR="008E315F" w:rsidRPr="00695397" w:rsidRDefault="00FB5839" w:rsidP="008E315F">
      <w:r>
        <w:t xml:space="preserve">Tóm tắt: </w:t>
      </w:r>
      <w:r w:rsidR="00695397" w:rsidRPr="00695397">
        <w:t xml:space="preserve">Tràn dịch màng phổi ảnh hưởng đến hơn 1,5 triệu người ở Hoa Kỳ mỗi năm và thường </w:t>
      </w:r>
      <w:r w:rsidR="00695397">
        <w:t xml:space="preserve">là biến chứng của các bệnh </w:t>
      </w:r>
      <w:r w:rsidR="00695397" w:rsidRPr="00695397">
        <w:t xml:space="preserve">suy tim, viêm phổi và bệnh ác tính. Tràn dịch màng phổi xảy ra khi </w:t>
      </w:r>
      <w:r w:rsidR="00695397">
        <w:t>sự</w:t>
      </w:r>
      <w:r w:rsidR="00695397" w:rsidRPr="00695397">
        <w:t xml:space="preserve"> tích tụ </w:t>
      </w:r>
      <w:r w:rsidR="00695397">
        <w:t xml:space="preserve">dịch </w:t>
      </w:r>
      <w:r w:rsidR="00695397" w:rsidRPr="00695397">
        <w:t xml:space="preserve">giữa màng phổi thành và </w:t>
      </w:r>
      <w:r w:rsidR="00695397">
        <w:t>màng phổi</w:t>
      </w:r>
      <w:r w:rsidR="00695397" w:rsidRPr="00695397">
        <w:t xml:space="preserve"> tạng. Các </w:t>
      </w:r>
      <w:r w:rsidR="00695397">
        <w:t>rối loạn</w:t>
      </w:r>
      <w:r w:rsidR="00695397" w:rsidRPr="00695397">
        <w:t xml:space="preserve"> trong </w:t>
      </w:r>
      <w:r w:rsidR="00695397">
        <w:t xml:space="preserve">áp lực thủy tĩnh (như </w:t>
      </w:r>
      <w:r w:rsidR="00695397" w:rsidRPr="00695397">
        <w:t>suy tim hoặc hội chứng thận hư</w:t>
      </w:r>
      <w:r w:rsidR="00695397">
        <w:t xml:space="preserve">) </w:t>
      </w:r>
      <w:r w:rsidR="00695397" w:rsidRPr="00695397">
        <w:t>có xu hướng gây ra</w:t>
      </w:r>
      <w:r w:rsidR="00695397">
        <w:t xml:space="preserve"> tràn dịch</w:t>
      </w:r>
      <w:r w:rsidR="00695397" w:rsidRPr="00695397">
        <w:t xml:space="preserve"> </w:t>
      </w:r>
      <w:r w:rsidR="00695397" w:rsidRPr="00695397">
        <w:rPr>
          <w:b/>
          <w:bCs/>
        </w:rPr>
        <w:t>dịch thấm</w:t>
      </w:r>
      <w:r w:rsidR="00695397" w:rsidRPr="00695397">
        <w:t xml:space="preserve">, trong khi các quá trình viêm hoặc ác tính cục bộ </w:t>
      </w:r>
      <w:r w:rsidR="00695397">
        <w:t>gây</w:t>
      </w:r>
      <w:r w:rsidR="00695397" w:rsidRPr="00695397">
        <w:t xml:space="preserve"> tràn dịch</w:t>
      </w:r>
      <w:r w:rsidR="00695397">
        <w:t xml:space="preserve"> </w:t>
      </w:r>
      <w:r w:rsidR="00695397" w:rsidRPr="00695397">
        <w:rPr>
          <w:b/>
          <w:bCs/>
        </w:rPr>
        <w:t>dịch tiết</w:t>
      </w:r>
      <w:r w:rsidR="00695397" w:rsidRPr="00695397">
        <w:t>. Bệnh nhân có thể không có triệu chứng hoặc có thể bị ho, khó thở và đau ngực</w:t>
      </w:r>
      <w:r w:rsidR="00695397">
        <w:t xml:space="preserve"> kiểu</w:t>
      </w:r>
      <w:r w:rsidR="00695397" w:rsidRPr="00695397">
        <w:t xml:space="preserve"> màng phổi. </w:t>
      </w:r>
      <w:r w:rsidR="00695397">
        <w:t>G</w:t>
      </w:r>
      <w:r w:rsidR="00695397" w:rsidRPr="00695397">
        <w:t>õ</w:t>
      </w:r>
      <w:r w:rsidR="00695397">
        <w:t xml:space="preserve"> đục khi thăm khám giúp phát hiện </w:t>
      </w:r>
      <w:r w:rsidR="00695397" w:rsidRPr="00695397">
        <w:t xml:space="preserve">tràn dịch; X quang ngực có thể xác nhận chẩn đoán. </w:t>
      </w:r>
      <w:r w:rsidR="00695397" w:rsidRPr="00F27A0C">
        <w:rPr>
          <w:b/>
          <w:bCs/>
        </w:rPr>
        <w:t>Chọc dịch màng phổi</w:t>
      </w:r>
      <w:r w:rsidR="00695397">
        <w:t xml:space="preserve"> </w:t>
      </w:r>
      <w:r w:rsidR="00695397" w:rsidRPr="00695397">
        <w:t xml:space="preserve">có thể được chỉ định để chẩn đoán tràn dịch và làm giảm các triệu chứng. </w:t>
      </w:r>
      <w:r w:rsidR="00695397">
        <w:t>Chọc dịch dưới h</w:t>
      </w:r>
      <w:r w:rsidR="00695397" w:rsidRPr="00695397">
        <w:t>ướng dẫn siêu âm được</w:t>
      </w:r>
      <w:r w:rsidR="00695397">
        <w:t xml:space="preserve"> khuyến cáo</w:t>
      </w:r>
      <w:r w:rsidR="00695397" w:rsidRPr="00695397">
        <w:t xml:space="preserve">. Các xét nghiệm </w:t>
      </w:r>
      <w:r w:rsidR="00695397" w:rsidRPr="00F27A0C">
        <w:rPr>
          <w:b/>
          <w:bCs/>
        </w:rPr>
        <w:t>thường quy</w:t>
      </w:r>
      <w:r w:rsidR="00695397" w:rsidRPr="00695397">
        <w:t xml:space="preserve"> </w:t>
      </w:r>
      <w:r w:rsidR="00695397">
        <w:t xml:space="preserve">của dịch màng phổi </w:t>
      </w:r>
      <w:r w:rsidR="00695397" w:rsidRPr="00695397">
        <w:t xml:space="preserve">bao gồm nồng độ </w:t>
      </w:r>
      <w:r w:rsidR="00695397" w:rsidRPr="00F27A0C">
        <w:rPr>
          <w:b/>
          <w:bCs/>
        </w:rPr>
        <w:t xml:space="preserve">protein và </w:t>
      </w:r>
      <w:r w:rsidR="00F27A0C" w:rsidRPr="00F27A0C">
        <w:rPr>
          <w:b/>
          <w:bCs/>
        </w:rPr>
        <w:t xml:space="preserve">lactat </w:t>
      </w:r>
      <w:r w:rsidR="00695397" w:rsidRPr="00F27A0C">
        <w:rPr>
          <w:b/>
          <w:bCs/>
        </w:rPr>
        <w:t>dehydrogenase</w:t>
      </w:r>
      <w:r w:rsidR="00F27A0C" w:rsidRPr="00F27A0C">
        <w:rPr>
          <w:b/>
          <w:bCs/>
        </w:rPr>
        <w:t xml:space="preserve"> (LDH)</w:t>
      </w:r>
      <w:r w:rsidR="00695397" w:rsidRPr="00F27A0C">
        <w:rPr>
          <w:b/>
          <w:bCs/>
        </w:rPr>
        <w:t>, nhuộm Gram, tế bào học và đo pH</w:t>
      </w:r>
      <w:r w:rsidR="00695397" w:rsidRPr="00695397">
        <w:t xml:space="preserve">. </w:t>
      </w:r>
      <w:r w:rsidR="00F27A0C" w:rsidRPr="00F27A0C">
        <w:rPr>
          <w:b/>
          <w:bCs/>
        </w:rPr>
        <w:t>Tiêu chuẩn Light</w:t>
      </w:r>
      <w:r w:rsidR="00F27A0C">
        <w:t xml:space="preserve"> </w:t>
      </w:r>
      <w:r w:rsidR="00695397" w:rsidRPr="00695397">
        <w:t>nên được sử dụng để phân biệt</w:t>
      </w:r>
      <w:r w:rsidR="00F27A0C">
        <w:t xml:space="preserve"> dịch thấm và dịch tiết</w:t>
      </w:r>
      <w:r w:rsidR="00695397" w:rsidRPr="00695397">
        <w:t xml:space="preserve">. Xét nghiệm bổ sung, nội soi phế quản, sinh thiết màng phổi qua da hoặc nội soi lồng ngực có thể được yêu cầu để chẩn đoán nếu kết quả xét nghiệm ban đầu </w:t>
      </w:r>
      <w:r>
        <w:t xml:space="preserve">không đủ để </w:t>
      </w:r>
      <w:r w:rsidR="00695397" w:rsidRPr="00695397">
        <w:t>kết luận.</w:t>
      </w:r>
    </w:p>
    <w:p w14:paraId="600858AA" w14:textId="314414A8" w:rsidR="008E315F" w:rsidRPr="00695397" w:rsidRDefault="00FB5839" w:rsidP="008E315F">
      <w:r>
        <w:t xml:space="preserve">Abstract: </w:t>
      </w:r>
      <w:r w:rsidR="008E315F" w:rsidRPr="00695397">
        <w:t>Pleural effusion affects more than 1.5 million people in the United States each year and often complicates the management of heart failure, pneumonia, and malignancy. Pleural effusion occurs when fluid collects between the parietal and visceral pleura. Processes causing a distortion in body fluid mechanics, such as in heart failure or nephrotic syndrome, tend to cause transudative effusions, whereas localized inflammatory or malignant processes are often associated with exudative effusions. Patients can be asymptomatic or can present with cough, dyspnea, and pleuritic chest pain. Dullness to percussion on physical examination suggests an effusion; chest radiography can confirm the diagnosis. Thoracentesis may be indicated to diagnose effusion and relieve symptoms. Ultrasound guidance is preferred when aspirating fluid. Routine assays for aspirated fluid include protein and lactate dehydrogenase levels, Gram staining, cytology, and pH measurement. Light's criteria should be used to differentiate exudative from transudative effusions. Additional laboratory assays, bronchoscopy, percutaneous pleural biopsy, or thoracoscopy may be required for diagnosis if the initial test results are inconclusive.</w:t>
      </w:r>
    </w:p>
    <w:p w14:paraId="40B5AC56" w14:textId="31F97936" w:rsidR="00FB5839" w:rsidRDefault="00FB5839">
      <w:r>
        <w:t xml:space="preserve">Nguồn: </w:t>
      </w:r>
      <w:r w:rsidR="008E315F" w:rsidRPr="00695397">
        <w:t>Aaron Saguil et al, Diagnostic Approach to Pleural Effusion, Am Fam Physician. 2014 Jul 15;90(2):99-104.</w:t>
      </w:r>
      <w:r>
        <w:br w:type="page"/>
      </w:r>
    </w:p>
    <w:p w14:paraId="4504A0B0" w14:textId="538DCFB7" w:rsidR="008E315F" w:rsidRPr="00FB5839" w:rsidRDefault="008E315F" w:rsidP="008E315F">
      <w:pPr>
        <w:rPr>
          <w:b/>
          <w:bCs/>
        </w:rPr>
      </w:pPr>
      <w:r w:rsidRPr="00FB5839">
        <w:rPr>
          <w:b/>
          <w:bCs/>
        </w:rPr>
        <w:lastRenderedPageBreak/>
        <w:t>BÀI TẬP</w:t>
      </w:r>
    </w:p>
    <w:p w14:paraId="5D95525B" w14:textId="77152AB9" w:rsidR="008E315F" w:rsidRPr="00695397" w:rsidRDefault="008E315F" w:rsidP="008E315F">
      <w:r w:rsidRPr="00695397">
        <w:t>Bệnh nhân nữ 70 tuổi, nhập viện vì khó thở</w:t>
      </w:r>
      <w:r w:rsidR="00FB5839">
        <w:t xml:space="preserve"> tăng dần 1 tháng nay. Khám gõ đục 1/3 dưới phổi (T)</w:t>
      </w:r>
    </w:p>
    <w:p w14:paraId="1AA271C4" w14:textId="61C07D4E" w:rsidR="00FB5839" w:rsidRDefault="008E315F" w:rsidP="008E315F">
      <w:r w:rsidRPr="00695397">
        <w:t>1/</w:t>
      </w:r>
      <w:r w:rsidR="00FB5839">
        <w:t xml:space="preserve"> Các dấu hiệu và thông tin cần đi tìm khi hỏi bệnh và thăm khám?</w:t>
      </w:r>
    </w:p>
    <w:p w14:paraId="31F836D4" w14:textId="38BB7856" w:rsidR="008E315F" w:rsidRPr="00695397" w:rsidRDefault="00FB5839" w:rsidP="008E315F">
      <w:r>
        <w:t xml:space="preserve">2/ </w:t>
      </w:r>
      <w:r w:rsidR="008E315F" w:rsidRPr="00695397">
        <w:t>Phân tích dịch màng phổi</w:t>
      </w:r>
      <w:r>
        <w:t xml:space="preserve"> được cung cấp</w:t>
      </w:r>
    </w:p>
    <w:p w14:paraId="448565C5" w14:textId="3CE55EF8" w:rsidR="008E315F" w:rsidRPr="00695397" w:rsidRDefault="00FB5839" w:rsidP="008E315F">
      <w:r>
        <w:t>3</w:t>
      </w:r>
      <w:r w:rsidR="008E315F" w:rsidRPr="00695397">
        <w:t>/ Đề nghị thêm các xét nghiệm liên quan tới màng phổi và dịch màng phổi.</w:t>
      </w:r>
    </w:p>
    <w:p w14:paraId="4C9E01F2" w14:textId="77777777" w:rsidR="008E315F" w:rsidRPr="00695397" w:rsidRDefault="008E315F" w:rsidP="008E315F">
      <w:r w:rsidRPr="00695397">
        <w:tab/>
        <w:t>XN SINH HÓA</w:t>
      </w:r>
      <w:r w:rsidRPr="00695397">
        <w:tab/>
        <w:t>Glucose</w:t>
      </w:r>
      <w:r w:rsidRPr="00695397">
        <w:tab/>
        <w:t xml:space="preserve"> 5.8</w:t>
      </w:r>
      <w:r w:rsidRPr="00695397">
        <w:tab/>
        <w:t>3.9-6.4 mmol/L</w:t>
      </w:r>
    </w:p>
    <w:p w14:paraId="64BD7069" w14:textId="77777777" w:rsidR="008E315F" w:rsidRPr="00695397" w:rsidRDefault="008E315F" w:rsidP="008E315F">
      <w:r w:rsidRPr="00695397">
        <w:tab/>
      </w:r>
      <w:r w:rsidRPr="00695397">
        <w:tab/>
        <w:t>.      Glucose</w:t>
      </w:r>
      <w:r w:rsidRPr="00695397">
        <w:tab/>
        <w:t>105</w:t>
      </w:r>
      <w:r w:rsidRPr="00695397">
        <w:tab/>
        <w:t>70-115 mg/dL</w:t>
      </w:r>
    </w:p>
    <w:p w14:paraId="528E61A2" w14:textId="77777777" w:rsidR="008E315F" w:rsidRPr="00695397" w:rsidRDefault="008E315F" w:rsidP="008E315F">
      <w:r w:rsidRPr="00695397">
        <w:tab/>
      </w:r>
      <w:r w:rsidRPr="00695397">
        <w:tab/>
        <w:t>Protein toàn phần</w:t>
      </w:r>
      <w:r w:rsidRPr="00695397">
        <w:tab/>
        <w:t>56.8*</w:t>
      </w:r>
      <w:r w:rsidRPr="00695397">
        <w:tab/>
        <w:t>64-83 g/L</w:t>
      </w:r>
    </w:p>
    <w:p w14:paraId="3B445680" w14:textId="77777777" w:rsidR="008E315F" w:rsidRPr="00695397" w:rsidRDefault="008E315F" w:rsidP="008E315F">
      <w:r w:rsidRPr="00695397">
        <w:tab/>
      </w:r>
      <w:r w:rsidRPr="00695397">
        <w:tab/>
        <w:t>LDH</w:t>
      </w:r>
      <w:r w:rsidRPr="00695397">
        <w:tab/>
        <w:t>159</w:t>
      </w:r>
      <w:r w:rsidRPr="00695397">
        <w:tab/>
        <w:t>&lt;248 U/L</w:t>
      </w:r>
    </w:p>
    <w:p w14:paraId="47B72D63" w14:textId="77777777" w:rsidR="008E315F" w:rsidRPr="00695397" w:rsidRDefault="008E315F" w:rsidP="008E315F">
      <w:r w:rsidRPr="00695397">
        <w:tab/>
        <w:t>XN SINH HÓA</w:t>
      </w:r>
      <w:r w:rsidRPr="00695397">
        <w:tab/>
        <w:t>Glucose (dịch)</w:t>
      </w:r>
      <w:r w:rsidRPr="00695397">
        <w:tab/>
        <w:t>7.8</w:t>
      </w:r>
      <w:r w:rsidRPr="00695397">
        <w:tab/>
        <w:t>mmol/L</w:t>
      </w:r>
    </w:p>
    <w:p w14:paraId="59551457" w14:textId="77777777" w:rsidR="008E315F" w:rsidRPr="00695397" w:rsidRDefault="008E315F" w:rsidP="008E315F">
      <w:r w:rsidRPr="00695397">
        <w:tab/>
      </w:r>
      <w:r w:rsidRPr="00695397">
        <w:tab/>
        <w:t>LDH (dịch)</w:t>
      </w:r>
      <w:r w:rsidRPr="00695397">
        <w:tab/>
        <w:t>126</w:t>
      </w:r>
      <w:r w:rsidRPr="00695397">
        <w:tab/>
        <w:t>U/L</w:t>
      </w:r>
    </w:p>
    <w:p w14:paraId="2FFA4498" w14:textId="77777777" w:rsidR="008E315F" w:rsidRPr="00695397" w:rsidRDefault="008E315F" w:rsidP="008E315F">
      <w:r w:rsidRPr="00695397">
        <w:tab/>
      </w:r>
      <w:r w:rsidRPr="00695397">
        <w:tab/>
        <w:t>Protein (dịch)</w:t>
      </w:r>
      <w:r w:rsidRPr="00695397">
        <w:tab/>
        <w:t>3254</w:t>
      </w:r>
      <w:r w:rsidRPr="00695397">
        <w:tab/>
        <w:t>mg/dL</w:t>
      </w:r>
    </w:p>
    <w:p w14:paraId="2F263FC8" w14:textId="77777777" w:rsidR="008E315F" w:rsidRPr="00695397" w:rsidRDefault="008E315F" w:rsidP="008E315F">
      <w:r w:rsidRPr="00695397">
        <w:tab/>
      </w:r>
      <w:r w:rsidRPr="00695397">
        <w:tab/>
        <w:t>ADA (Adenosine Deaminase) /dịch</w:t>
      </w:r>
      <w:r w:rsidRPr="00695397">
        <w:tab/>
        <w:t>45.3</w:t>
      </w:r>
      <w:r w:rsidRPr="00695397">
        <w:tab/>
        <w:t>&lt;=33 U/L</w:t>
      </w:r>
    </w:p>
    <w:p w14:paraId="696996D9" w14:textId="77777777" w:rsidR="008E315F" w:rsidRPr="00695397" w:rsidRDefault="008E315F" w:rsidP="008E315F"/>
    <w:p w14:paraId="12CCEFB5" w14:textId="0175C54D" w:rsidR="008E315F" w:rsidRPr="00695397" w:rsidRDefault="008E315F" w:rsidP="008E315F">
      <w:r w:rsidRPr="00695397">
        <w:tab/>
        <w:t xml:space="preserve">XN TẾ BÀO      </w:t>
      </w:r>
      <w:r w:rsidRPr="00695397">
        <w:tab/>
        <w:t>Tế bào dịch màng phổi</w:t>
      </w:r>
      <w:r w:rsidRPr="00695397">
        <w:tab/>
      </w:r>
      <w:r w:rsidRPr="00695397">
        <w:tab/>
      </w:r>
    </w:p>
    <w:p w14:paraId="41C9DC26" w14:textId="78726F26" w:rsidR="008E315F" w:rsidRPr="00695397" w:rsidRDefault="008E315F" w:rsidP="008E315F">
      <w:r w:rsidRPr="00695397">
        <w:tab/>
      </w:r>
      <w:r w:rsidRPr="00695397">
        <w:tab/>
        <w:t>. Trạng thái</w:t>
      </w:r>
      <w:r w:rsidRPr="00695397">
        <w:tab/>
        <w:t>Dịch vàng sậm</w:t>
      </w:r>
      <w:r w:rsidRPr="00695397">
        <w:tab/>
      </w:r>
    </w:p>
    <w:p w14:paraId="780F7E76" w14:textId="4E0DF5AB" w:rsidR="008E315F" w:rsidRPr="00695397" w:rsidRDefault="008E315F" w:rsidP="008E315F">
      <w:r w:rsidRPr="00695397">
        <w:tab/>
      </w:r>
      <w:r w:rsidRPr="00695397">
        <w:tab/>
        <w:t>. Hồng cầu</w:t>
      </w:r>
      <w:r w:rsidRPr="00695397">
        <w:tab/>
        <w:t>7000</w:t>
      </w:r>
      <w:r w:rsidRPr="00695397">
        <w:tab/>
        <w:t>/mm3</w:t>
      </w:r>
    </w:p>
    <w:p w14:paraId="05735AD9" w14:textId="53E40D33" w:rsidR="008E315F" w:rsidRPr="00695397" w:rsidRDefault="008E315F" w:rsidP="008E315F">
      <w:r w:rsidRPr="00695397">
        <w:tab/>
      </w:r>
      <w:r w:rsidRPr="00695397">
        <w:tab/>
        <w:t>. Bạch cầu</w:t>
      </w:r>
      <w:r w:rsidRPr="00695397">
        <w:tab/>
        <w:t>2750</w:t>
      </w:r>
      <w:r w:rsidRPr="00695397">
        <w:tab/>
        <w:t>/mm3</w:t>
      </w:r>
    </w:p>
    <w:p w14:paraId="3570F28D" w14:textId="77777777" w:rsidR="008E315F" w:rsidRPr="00695397" w:rsidRDefault="008E315F" w:rsidP="008E315F">
      <w:r w:rsidRPr="00695397">
        <w:tab/>
      </w:r>
      <w:r w:rsidRPr="00695397">
        <w:tab/>
        <w:t>.     ++ NEU%</w:t>
      </w:r>
      <w:r w:rsidRPr="00695397">
        <w:tab/>
        <w:t>20%</w:t>
      </w:r>
      <w:r w:rsidRPr="00695397">
        <w:tab/>
        <w:t>.</w:t>
      </w:r>
    </w:p>
    <w:p w14:paraId="4915DC25" w14:textId="77777777" w:rsidR="008E315F" w:rsidRPr="00695397" w:rsidRDefault="008E315F" w:rsidP="008E315F">
      <w:r w:rsidRPr="00695397">
        <w:tab/>
      </w:r>
      <w:r w:rsidRPr="00695397">
        <w:tab/>
        <w:t>.     ++ LYM%</w:t>
      </w:r>
      <w:r w:rsidRPr="00695397">
        <w:tab/>
        <w:t>60%</w:t>
      </w:r>
      <w:r w:rsidRPr="00695397">
        <w:tab/>
        <w:t>.</w:t>
      </w:r>
    </w:p>
    <w:p w14:paraId="66AB57DF" w14:textId="77777777" w:rsidR="008E315F" w:rsidRPr="00695397" w:rsidRDefault="008E315F" w:rsidP="008E315F">
      <w:r w:rsidRPr="00695397">
        <w:tab/>
      </w:r>
      <w:r w:rsidRPr="00695397">
        <w:tab/>
        <w:t>.     ++ EOS%</w:t>
      </w:r>
      <w:r w:rsidRPr="00695397">
        <w:tab/>
        <w:t>..</w:t>
      </w:r>
      <w:r w:rsidRPr="00695397">
        <w:tab/>
        <w:t>.</w:t>
      </w:r>
    </w:p>
    <w:p w14:paraId="5656FD72" w14:textId="77777777" w:rsidR="008E315F" w:rsidRPr="00695397" w:rsidRDefault="008E315F" w:rsidP="008E315F">
      <w:r w:rsidRPr="00695397">
        <w:tab/>
      </w:r>
      <w:r w:rsidRPr="00695397">
        <w:tab/>
        <w:t>.     ++ BASO%</w:t>
      </w:r>
      <w:r w:rsidRPr="00695397">
        <w:tab/>
        <w:t>..</w:t>
      </w:r>
      <w:r w:rsidRPr="00695397">
        <w:tab/>
        <w:t>.</w:t>
      </w:r>
    </w:p>
    <w:p w14:paraId="6245ECC8" w14:textId="77777777" w:rsidR="008E315F" w:rsidRPr="00695397" w:rsidRDefault="008E315F" w:rsidP="008E315F">
      <w:r w:rsidRPr="00695397">
        <w:tab/>
      </w:r>
      <w:r w:rsidRPr="00695397">
        <w:tab/>
        <w:t>.     ++ MONO%</w:t>
      </w:r>
      <w:r w:rsidRPr="00695397">
        <w:tab/>
        <w:t>..</w:t>
      </w:r>
      <w:r w:rsidRPr="00695397">
        <w:tab/>
        <w:t>.</w:t>
      </w:r>
    </w:p>
    <w:p w14:paraId="2F99A3DA" w14:textId="77777777" w:rsidR="008E315F" w:rsidRPr="00695397" w:rsidRDefault="008E315F" w:rsidP="008E315F">
      <w:pPr>
        <w:ind w:left="720" w:firstLine="720"/>
      </w:pPr>
      <w:r w:rsidRPr="00695397">
        <w:t>Có nhiều tế bào nhiều nhân, hình dạng bất thường</w:t>
      </w:r>
      <w:r w:rsidRPr="00695397">
        <w:br w:type="page"/>
      </w:r>
    </w:p>
    <w:p w14:paraId="360B6DC8" w14:textId="77777777" w:rsidR="008E315F" w:rsidRPr="00695397" w:rsidRDefault="008E315F"/>
    <w:sectPr w:rsidR="008E315F" w:rsidRPr="00695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revisionView w:comments="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5F"/>
    <w:rsid w:val="00695397"/>
    <w:rsid w:val="008E315F"/>
    <w:rsid w:val="00DC1233"/>
    <w:rsid w:val="00F27A0C"/>
    <w:rsid w:val="00FB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3954"/>
  <w15:chartTrackingRefBased/>
  <w15:docId w15:val="{D0D0CB61-32DD-4DFA-AA5A-9DB69F8C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970845">
      <w:bodyDiv w:val="1"/>
      <w:marLeft w:val="0"/>
      <w:marRight w:val="0"/>
      <w:marTop w:val="0"/>
      <w:marBottom w:val="0"/>
      <w:divBdr>
        <w:top w:val="none" w:sz="0" w:space="0" w:color="auto"/>
        <w:left w:val="none" w:sz="0" w:space="0" w:color="auto"/>
        <w:bottom w:val="none" w:sz="0" w:space="0" w:color="auto"/>
        <w:right w:val="none" w:sz="0" w:space="0" w:color="auto"/>
      </w:divBdr>
      <w:divsChild>
        <w:div w:id="1274820265">
          <w:marLeft w:val="0"/>
          <w:marRight w:val="0"/>
          <w:marTop w:val="0"/>
          <w:marBottom w:val="0"/>
          <w:divBdr>
            <w:top w:val="none" w:sz="0" w:space="0" w:color="auto"/>
            <w:left w:val="none" w:sz="0" w:space="0" w:color="auto"/>
            <w:bottom w:val="none" w:sz="0" w:space="0" w:color="auto"/>
            <w:right w:val="none" w:sz="0" w:space="0" w:color="auto"/>
          </w:divBdr>
        </w:div>
      </w:divsChild>
    </w:div>
    <w:div w:id="432363103">
      <w:bodyDiv w:val="1"/>
      <w:marLeft w:val="0"/>
      <w:marRight w:val="0"/>
      <w:marTop w:val="0"/>
      <w:marBottom w:val="0"/>
      <w:divBdr>
        <w:top w:val="none" w:sz="0" w:space="0" w:color="auto"/>
        <w:left w:val="none" w:sz="0" w:space="0" w:color="auto"/>
        <w:bottom w:val="none" w:sz="0" w:space="0" w:color="auto"/>
        <w:right w:val="none" w:sz="0" w:space="0" w:color="auto"/>
      </w:divBdr>
      <w:divsChild>
        <w:div w:id="1908035091">
          <w:marLeft w:val="0"/>
          <w:marRight w:val="0"/>
          <w:marTop w:val="0"/>
          <w:marBottom w:val="0"/>
          <w:divBdr>
            <w:top w:val="none" w:sz="0" w:space="0" w:color="auto"/>
            <w:left w:val="none" w:sz="0" w:space="0" w:color="auto"/>
            <w:bottom w:val="none" w:sz="0" w:space="0" w:color="auto"/>
            <w:right w:val="none" w:sz="0" w:space="0" w:color="auto"/>
          </w:divBdr>
          <w:divsChild>
            <w:div w:id="1133064659">
              <w:marLeft w:val="0"/>
              <w:marRight w:val="0"/>
              <w:marTop w:val="0"/>
              <w:marBottom w:val="0"/>
              <w:divBdr>
                <w:top w:val="none" w:sz="0" w:space="0" w:color="auto"/>
                <w:left w:val="none" w:sz="0" w:space="0" w:color="auto"/>
                <w:bottom w:val="none" w:sz="0" w:space="0" w:color="auto"/>
                <w:right w:val="none" w:sz="0" w:space="0" w:color="auto"/>
              </w:divBdr>
              <w:divsChild>
                <w:div w:id="1085418878">
                  <w:marLeft w:val="0"/>
                  <w:marRight w:val="0"/>
                  <w:marTop w:val="0"/>
                  <w:marBottom w:val="0"/>
                  <w:divBdr>
                    <w:top w:val="none" w:sz="0" w:space="0" w:color="auto"/>
                    <w:left w:val="none" w:sz="0" w:space="0" w:color="auto"/>
                    <w:bottom w:val="none" w:sz="0" w:space="0" w:color="auto"/>
                    <w:right w:val="none" w:sz="0" w:space="0" w:color="auto"/>
                  </w:divBdr>
                  <w:divsChild>
                    <w:div w:id="16092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91778">
          <w:marLeft w:val="0"/>
          <w:marRight w:val="0"/>
          <w:marTop w:val="0"/>
          <w:marBottom w:val="0"/>
          <w:divBdr>
            <w:top w:val="none" w:sz="0" w:space="0" w:color="auto"/>
            <w:left w:val="none" w:sz="0" w:space="0" w:color="auto"/>
            <w:bottom w:val="none" w:sz="0" w:space="0" w:color="auto"/>
            <w:right w:val="none" w:sz="0" w:space="0" w:color="auto"/>
          </w:divBdr>
          <w:divsChild>
            <w:div w:id="318122733">
              <w:marLeft w:val="0"/>
              <w:marRight w:val="0"/>
              <w:marTop w:val="0"/>
              <w:marBottom w:val="0"/>
              <w:divBdr>
                <w:top w:val="none" w:sz="0" w:space="0" w:color="auto"/>
                <w:left w:val="none" w:sz="0" w:space="0" w:color="auto"/>
                <w:bottom w:val="none" w:sz="0" w:space="0" w:color="auto"/>
                <w:right w:val="none" w:sz="0" w:space="0" w:color="auto"/>
              </w:divBdr>
              <w:divsChild>
                <w:div w:id="1012535424">
                  <w:marLeft w:val="0"/>
                  <w:marRight w:val="0"/>
                  <w:marTop w:val="0"/>
                  <w:marBottom w:val="0"/>
                  <w:divBdr>
                    <w:top w:val="none" w:sz="0" w:space="0" w:color="auto"/>
                    <w:left w:val="none" w:sz="0" w:space="0" w:color="auto"/>
                    <w:bottom w:val="none" w:sz="0" w:space="0" w:color="auto"/>
                    <w:right w:val="none" w:sz="0" w:space="0" w:color="auto"/>
                  </w:divBdr>
                  <w:divsChild>
                    <w:div w:id="12651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2497">
          <w:marLeft w:val="0"/>
          <w:marRight w:val="0"/>
          <w:marTop w:val="0"/>
          <w:marBottom w:val="0"/>
          <w:divBdr>
            <w:top w:val="none" w:sz="0" w:space="0" w:color="auto"/>
            <w:left w:val="none" w:sz="0" w:space="0" w:color="auto"/>
            <w:bottom w:val="none" w:sz="0" w:space="0" w:color="auto"/>
            <w:right w:val="none" w:sz="0" w:space="0" w:color="auto"/>
          </w:divBdr>
          <w:divsChild>
            <w:div w:id="426969101">
              <w:marLeft w:val="0"/>
              <w:marRight w:val="0"/>
              <w:marTop w:val="0"/>
              <w:marBottom w:val="0"/>
              <w:divBdr>
                <w:top w:val="none" w:sz="0" w:space="0" w:color="auto"/>
                <w:left w:val="none" w:sz="0" w:space="0" w:color="auto"/>
                <w:bottom w:val="none" w:sz="0" w:space="0" w:color="auto"/>
                <w:right w:val="none" w:sz="0" w:space="0" w:color="auto"/>
              </w:divBdr>
            </w:div>
          </w:divsChild>
        </w:div>
        <w:div w:id="1587375850">
          <w:marLeft w:val="0"/>
          <w:marRight w:val="0"/>
          <w:marTop w:val="0"/>
          <w:marBottom w:val="0"/>
          <w:divBdr>
            <w:top w:val="none" w:sz="0" w:space="0" w:color="auto"/>
            <w:left w:val="none" w:sz="0" w:space="0" w:color="auto"/>
            <w:bottom w:val="none" w:sz="0" w:space="0" w:color="auto"/>
            <w:right w:val="none" w:sz="0" w:space="0" w:color="auto"/>
          </w:divBdr>
          <w:divsChild>
            <w:div w:id="2018531874">
              <w:marLeft w:val="0"/>
              <w:marRight w:val="0"/>
              <w:marTop w:val="0"/>
              <w:marBottom w:val="0"/>
              <w:divBdr>
                <w:top w:val="none" w:sz="0" w:space="0" w:color="auto"/>
                <w:left w:val="none" w:sz="0" w:space="0" w:color="auto"/>
                <w:bottom w:val="none" w:sz="0" w:space="0" w:color="auto"/>
                <w:right w:val="none" w:sz="0" w:space="0" w:color="auto"/>
              </w:divBdr>
            </w:div>
          </w:divsChild>
        </w:div>
        <w:div w:id="664469">
          <w:marLeft w:val="0"/>
          <w:marRight w:val="0"/>
          <w:marTop w:val="0"/>
          <w:marBottom w:val="0"/>
          <w:divBdr>
            <w:top w:val="none" w:sz="0" w:space="0" w:color="auto"/>
            <w:left w:val="none" w:sz="0" w:space="0" w:color="auto"/>
            <w:bottom w:val="none" w:sz="0" w:space="0" w:color="auto"/>
            <w:right w:val="none" w:sz="0" w:space="0" w:color="auto"/>
          </w:divBdr>
          <w:divsChild>
            <w:div w:id="1430929469">
              <w:marLeft w:val="0"/>
              <w:marRight w:val="0"/>
              <w:marTop w:val="0"/>
              <w:marBottom w:val="0"/>
              <w:divBdr>
                <w:top w:val="none" w:sz="0" w:space="0" w:color="auto"/>
                <w:left w:val="none" w:sz="0" w:space="0" w:color="auto"/>
                <w:bottom w:val="none" w:sz="0" w:space="0" w:color="auto"/>
                <w:right w:val="none" w:sz="0" w:space="0" w:color="auto"/>
              </w:divBdr>
              <w:divsChild>
                <w:div w:id="933438605">
                  <w:marLeft w:val="0"/>
                  <w:marRight w:val="0"/>
                  <w:marTop w:val="0"/>
                  <w:marBottom w:val="0"/>
                  <w:divBdr>
                    <w:top w:val="none" w:sz="0" w:space="0" w:color="auto"/>
                    <w:left w:val="none" w:sz="0" w:space="0" w:color="auto"/>
                    <w:bottom w:val="none" w:sz="0" w:space="0" w:color="auto"/>
                    <w:right w:val="none" w:sz="0" w:space="0" w:color="auto"/>
                  </w:divBdr>
                  <w:divsChild>
                    <w:div w:id="1372800818">
                      <w:marLeft w:val="0"/>
                      <w:marRight w:val="0"/>
                      <w:marTop w:val="0"/>
                      <w:marBottom w:val="0"/>
                      <w:divBdr>
                        <w:top w:val="none" w:sz="0" w:space="0" w:color="auto"/>
                        <w:left w:val="none" w:sz="0" w:space="0" w:color="auto"/>
                        <w:bottom w:val="none" w:sz="0" w:space="0" w:color="auto"/>
                        <w:right w:val="none" w:sz="0" w:space="0" w:color="auto"/>
                      </w:divBdr>
                      <w:divsChild>
                        <w:div w:id="665210951">
                          <w:marLeft w:val="0"/>
                          <w:marRight w:val="0"/>
                          <w:marTop w:val="0"/>
                          <w:marBottom w:val="0"/>
                          <w:divBdr>
                            <w:top w:val="none" w:sz="0" w:space="0" w:color="auto"/>
                            <w:left w:val="none" w:sz="0" w:space="0" w:color="auto"/>
                            <w:bottom w:val="none" w:sz="0" w:space="0" w:color="auto"/>
                            <w:right w:val="none" w:sz="0" w:space="0" w:color="auto"/>
                          </w:divBdr>
                        </w:div>
                      </w:divsChild>
                    </w:div>
                    <w:div w:id="1155872640">
                      <w:marLeft w:val="0"/>
                      <w:marRight w:val="0"/>
                      <w:marTop w:val="0"/>
                      <w:marBottom w:val="0"/>
                      <w:divBdr>
                        <w:top w:val="none" w:sz="0" w:space="0" w:color="auto"/>
                        <w:left w:val="none" w:sz="0" w:space="0" w:color="auto"/>
                        <w:bottom w:val="none" w:sz="0" w:space="0" w:color="auto"/>
                        <w:right w:val="none" w:sz="0" w:space="0" w:color="auto"/>
                      </w:divBdr>
                      <w:divsChild>
                        <w:div w:id="1302613613">
                          <w:marLeft w:val="0"/>
                          <w:marRight w:val="0"/>
                          <w:marTop w:val="0"/>
                          <w:marBottom w:val="0"/>
                          <w:divBdr>
                            <w:top w:val="none" w:sz="0" w:space="0" w:color="auto"/>
                            <w:left w:val="none" w:sz="0" w:space="0" w:color="auto"/>
                            <w:bottom w:val="none" w:sz="0" w:space="0" w:color="auto"/>
                            <w:right w:val="none" w:sz="0" w:space="0" w:color="auto"/>
                          </w:divBdr>
                          <w:divsChild>
                            <w:div w:id="847259156">
                              <w:marLeft w:val="0"/>
                              <w:marRight w:val="0"/>
                              <w:marTop w:val="0"/>
                              <w:marBottom w:val="0"/>
                              <w:divBdr>
                                <w:top w:val="none" w:sz="0" w:space="0" w:color="auto"/>
                                <w:left w:val="none" w:sz="0" w:space="0" w:color="auto"/>
                                <w:bottom w:val="none" w:sz="0" w:space="0" w:color="auto"/>
                                <w:right w:val="none" w:sz="0" w:space="0" w:color="auto"/>
                              </w:divBdr>
                              <w:divsChild>
                                <w:div w:id="1816682564">
                                  <w:marLeft w:val="0"/>
                                  <w:marRight w:val="0"/>
                                  <w:marTop w:val="0"/>
                                  <w:marBottom w:val="0"/>
                                  <w:divBdr>
                                    <w:top w:val="none" w:sz="0" w:space="0" w:color="auto"/>
                                    <w:left w:val="none" w:sz="0" w:space="0" w:color="auto"/>
                                    <w:bottom w:val="none" w:sz="0" w:space="0" w:color="auto"/>
                                    <w:right w:val="none" w:sz="0" w:space="0" w:color="auto"/>
                                  </w:divBdr>
                                  <w:divsChild>
                                    <w:div w:id="2641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3631">
                              <w:marLeft w:val="0"/>
                              <w:marRight w:val="0"/>
                              <w:marTop w:val="0"/>
                              <w:marBottom w:val="0"/>
                              <w:divBdr>
                                <w:top w:val="none" w:sz="0" w:space="0" w:color="auto"/>
                                <w:left w:val="none" w:sz="0" w:space="0" w:color="auto"/>
                                <w:bottom w:val="none" w:sz="0" w:space="0" w:color="auto"/>
                                <w:right w:val="none" w:sz="0" w:space="0" w:color="auto"/>
                              </w:divBdr>
                              <w:divsChild>
                                <w:div w:id="502547721">
                                  <w:marLeft w:val="0"/>
                                  <w:marRight w:val="0"/>
                                  <w:marTop w:val="0"/>
                                  <w:marBottom w:val="0"/>
                                  <w:divBdr>
                                    <w:top w:val="none" w:sz="0" w:space="0" w:color="auto"/>
                                    <w:left w:val="none" w:sz="0" w:space="0" w:color="auto"/>
                                    <w:bottom w:val="none" w:sz="0" w:space="0" w:color="auto"/>
                                    <w:right w:val="none" w:sz="0" w:space="0" w:color="auto"/>
                                  </w:divBdr>
                                  <w:divsChild>
                                    <w:div w:id="15692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286">
                              <w:marLeft w:val="0"/>
                              <w:marRight w:val="0"/>
                              <w:marTop w:val="0"/>
                              <w:marBottom w:val="0"/>
                              <w:divBdr>
                                <w:top w:val="none" w:sz="0" w:space="0" w:color="auto"/>
                                <w:left w:val="none" w:sz="0" w:space="0" w:color="auto"/>
                                <w:bottom w:val="none" w:sz="0" w:space="0" w:color="auto"/>
                                <w:right w:val="none" w:sz="0" w:space="0" w:color="auto"/>
                              </w:divBdr>
                              <w:divsChild>
                                <w:div w:id="1666204205">
                                  <w:marLeft w:val="0"/>
                                  <w:marRight w:val="0"/>
                                  <w:marTop w:val="0"/>
                                  <w:marBottom w:val="0"/>
                                  <w:divBdr>
                                    <w:top w:val="none" w:sz="0" w:space="0" w:color="auto"/>
                                    <w:left w:val="none" w:sz="0" w:space="0" w:color="auto"/>
                                    <w:bottom w:val="none" w:sz="0" w:space="0" w:color="auto"/>
                                    <w:right w:val="none" w:sz="0" w:space="0" w:color="auto"/>
                                  </w:divBdr>
                                  <w:divsChild>
                                    <w:div w:id="117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806177">
      <w:bodyDiv w:val="1"/>
      <w:marLeft w:val="0"/>
      <w:marRight w:val="0"/>
      <w:marTop w:val="0"/>
      <w:marBottom w:val="0"/>
      <w:divBdr>
        <w:top w:val="none" w:sz="0" w:space="0" w:color="auto"/>
        <w:left w:val="none" w:sz="0" w:space="0" w:color="auto"/>
        <w:bottom w:val="none" w:sz="0" w:space="0" w:color="auto"/>
        <w:right w:val="none" w:sz="0" w:space="0" w:color="auto"/>
      </w:divBdr>
      <w:divsChild>
        <w:div w:id="26033688">
          <w:marLeft w:val="0"/>
          <w:marRight w:val="0"/>
          <w:marTop w:val="0"/>
          <w:marBottom w:val="0"/>
          <w:divBdr>
            <w:top w:val="none" w:sz="0" w:space="0" w:color="auto"/>
            <w:left w:val="none" w:sz="0" w:space="0" w:color="auto"/>
            <w:bottom w:val="none" w:sz="0" w:space="0" w:color="auto"/>
            <w:right w:val="none" w:sz="0" w:space="0" w:color="auto"/>
          </w:divBdr>
          <w:divsChild>
            <w:div w:id="1379083667">
              <w:marLeft w:val="0"/>
              <w:marRight w:val="0"/>
              <w:marTop w:val="0"/>
              <w:marBottom w:val="0"/>
              <w:divBdr>
                <w:top w:val="none" w:sz="0" w:space="0" w:color="auto"/>
                <w:left w:val="none" w:sz="0" w:space="0" w:color="auto"/>
                <w:bottom w:val="none" w:sz="0" w:space="0" w:color="auto"/>
                <w:right w:val="none" w:sz="0" w:space="0" w:color="auto"/>
              </w:divBdr>
              <w:divsChild>
                <w:div w:id="278491526">
                  <w:marLeft w:val="0"/>
                  <w:marRight w:val="0"/>
                  <w:marTop w:val="0"/>
                  <w:marBottom w:val="0"/>
                  <w:divBdr>
                    <w:top w:val="none" w:sz="0" w:space="0" w:color="auto"/>
                    <w:left w:val="none" w:sz="0" w:space="0" w:color="auto"/>
                    <w:bottom w:val="none" w:sz="0" w:space="0" w:color="auto"/>
                    <w:right w:val="none" w:sz="0" w:space="0" w:color="auto"/>
                  </w:divBdr>
                  <w:divsChild>
                    <w:div w:id="7932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4691">
          <w:marLeft w:val="0"/>
          <w:marRight w:val="0"/>
          <w:marTop w:val="0"/>
          <w:marBottom w:val="0"/>
          <w:divBdr>
            <w:top w:val="none" w:sz="0" w:space="0" w:color="auto"/>
            <w:left w:val="none" w:sz="0" w:space="0" w:color="auto"/>
            <w:bottom w:val="none" w:sz="0" w:space="0" w:color="auto"/>
            <w:right w:val="none" w:sz="0" w:space="0" w:color="auto"/>
          </w:divBdr>
          <w:divsChild>
            <w:div w:id="1219323735">
              <w:marLeft w:val="0"/>
              <w:marRight w:val="0"/>
              <w:marTop w:val="0"/>
              <w:marBottom w:val="0"/>
              <w:divBdr>
                <w:top w:val="none" w:sz="0" w:space="0" w:color="auto"/>
                <w:left w:val="none" w:sz="0" w:space="0" w:color="auto"/>
                <w:bottom w:val="none" w:sz="0" w:space="0" w:color="auto"/>
                <w:right w:val="none" w:sz="0" w:space="0" w:color="auto"/>
              </w:divBdr>
              <w:divsChild>
                <w:div w:id="1591960755">
                  <w:marLeft w:val="0"/>
                  <w:marRight w:val="0"/>
                  <w:marTop w:val="0"/>
                  <w:marBottom w:val="0"/>
                  <w:divBdr>
                    <w:top w:val="none" w:sz="0" w:space="0" w:color="auto"/>
                    <w:left w:val="none" w:sz="0" w:space="0" w:color="auto"/>
                    <w:bottom w:val="none" w:sz="0" w:space="0" w:color="auto"/>
                    <w:right w:val="none" w:sz="0" w:space="0" w:color="auto"/>
                  </w:divBdr>
                  <w:divsChild>
                    <w:div w:id="6911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536">
          <w:marLeft w:val="0"/>
          <w:marRight w:val="0"/>
          <w:marTop w:val="0"/>
          <w:marBottom w:val="0"/>
          <w:divBdr>
            <w:top w:val="none" w:sz="0" w:space="0" w:color="auto"/>
            <w:left w:val="none" w:sz="0" w:space="0" w:color="auto"/>
            <w:bottom w:val="none" w:sz="0" w:space="0" w:color="auto"/>
            <w:right w:val="none" w:sz="0" w:space="0" w:color="auto"/>
          </w:divBdr>
          <w:divsChild>
            <w:div w:id="1182013078">
              <w:marLeft w:val="0"/>
              <w:marRight w:val="0"/>
              <w:marTop w:val="0"/>
              <w:marBottom w:val="0"/>
              <w:divBdr>
                <w:top w:val="none" w:sz="0" w:space="0" w:color="auto"/>
                <w:left w:val="none" w:sz="0" w:space="0" w:color="auto"/>
                <w:bottom w:val="none" w:sz="0" w:space="0" w:color="auto"/>
                <w:right w:val="none" w:sz="0" w:space="0" w:color="auto"/>
              </w:divBdr>
            </w:div>
          </w:divsChild>
        </w:div>
        <w:div w:id="1301418564">
          <w:marLeft w:val="0"/>
          <w:marRight w:val="0"/>
          <w:marTop w:val="0"/>
          <w:marBottom w:val="0"/>
          <w:divBdr>
            <w:top w:val="none" w:sz="0" w:space="0" w:color="auto"/>
            <w:left w:val="none" w:sz="0" w:space="0" w:color="auto"/>
            <w:bottom w:val="none" w:sz="0" w:space="0" w:color="auto"/>
            <w:right w:val="none" w:sz="0" w:space="0" w:color="auto"/>
          </w:divBdr>
          <w:divsChild>
            <w:div w:id="454568071">
              <w:marLeft w:val="0"/>
              <w:marRight w:val="0"/>
              <w:marTop w:val="0"/>
              <w:marBottom w:val="0"/>
              <w:divBdr>
                <w:top w:val="none" w:sz="0" w:space="0" w:color="auto"/>
                <w:left w:val="none" w:sz="0" w:space="0" w:color="auto"/>
                <w:bottom w:val="none" w:sz="0" w:space="0" w:color="auto"/>
                <w:right w:val="none" w:sz="0" w:space="0" w:color="auto"/>
              </w:divBdr>
            </w:div>
          </w:divsChild>
        </w:div>
        <w:div w:id="895239384">
          <w:marLeft w:val="0"/>
          <w:marRight w:val="0"/>
          <w:marTop w:val="0"/>
          <w:marBottom w:val="0"/>
          <w:divBdr>
            <w:top w:val="none" w:sz="0" w:space="0" w:color="auto"/>
            <w:left w:val="none" w:sz="0" w:space="0" w:color="auto"/>
            <w:bottom w:val="none" w:sz="0" w:space="0" w:color="auto"/>
            <w:right w:val="none" w:sz="0" w:space="0" w:color="auto"/>
          </w:divBdr>
          <w:divsChild>
            <w:div w:id="1438212634">
              <w:marLeft w:val="0"/>
              <w:marRight w:val="0"/>
              <w:marTop w:val="0"/>
              <w:marBottom w:val="0"/>
              <w:divBdr>
                <w:top w:val="none" w:sz="0" w:space="0" w:color="auto"/>
                <w:left w:val="none" w:sz="0" w:space="0" w:color="auto"/>
                <w:bottom w:val="none" w:sz="0" w:space="0" w:color="auto"/>
                <w:right w:val="none" w:sz="0" w:space="0" w:color="auto"/>
              </w:divBdr>
              <w:divsChild>
                <w:div w:id="445121311">
                  <w:marLeft w:val="0"/>
                  <w:marRight w:val="0"/>
                  <w:marTop w:val="0"/>
                  <w:marBottom w:val="0"/>
                  <w:divBdr>
                    <w:top w:val="none" w:sz="0" w:space="0" w:color="auto"/>
                    <w:left w:val="none" w:sz="0" w:space="0" w:color="auto"/>
                    <w:bottom w:val="none" w:sz="0" w:space="0" w:color="auto"/>
                    <w:right w:val="none" w:sz="0" w:space="0" w:color="auto"/>
                  </w:divBdr>
                  <w:divsChild>
                    <w:div w:id="639842618">
                      <w:marLeft w:val="0"/>
                      <w:marRight w:val="0"/>
                      <w:marTop w:val="0"/>
                      <w:marBottom w:val="0"/>
                      <w:divBdr>
                        <w:top w:val="none" w:sz="0" w:space="0" w:color="auto"/>
                        <w:left w:val="none" w:sz="0" w:space="0" w:color="auto"/>
                        <w:bottom w:val="none" w:sz="0" w:space="0" w:color="auto"/>
                        <w:right w:val="none" w:sz="0" w:space="0" w:color="auto"/>
                      </w:divBdr>
                      <w:divsChild>
                        <w:div w:id="962734114">
                          <w:marLeft w:val="0"/>
                          <w:marRight w:val="0"/>
                          <w:marTop w:val="0"/>
                          <w:marBottom w:val="0"/>
                          <w:divBdr>
                            <w:top w:val="none" w:sz="0" w:space="0" w:color="auto"/>
                            <w:left w:val="none" w:sz="0" w:space="0" w:color="auto"/>
                            <w:bottom w:val="none" w:sz="0" w:space="0" w:color="auto"/>
                            <w:right w:val="none" w:sz="0" w:space="0" w:color="auto"/>
                          </w:divBdr>
                        </w:div>
                      </w:divsChild>
                    </w:div>
                    <w:div w:id="471558993">
                      <w:marLeft w:val="0"/>
                      <w:marRight w:val="0"/>
                      <w:marTop w:val="0"/>
                      <w:marBottom w:val="0"/>
                      <w:divBdr>
                        <w:top w:val="none" w:sz="0" w:space="0" w:color="auto"/>
                        <w:left w:val="none" w:sz="0" w:space="0" w:color="auto"/>
                        <w:bottom w:val="none" w:sz="0" w:space="0" w:color="auto"/>
                        <w:right w:val="none" w:sz="0" w:space="0" w:color="auto"/>
                      </w:divBdr>
                      <w:divsChild>
                        <w:div w:id="995188723">
                          <w:marLeft w:val="0"/>
                          <w:marRight w:val="0"/>
                          <w:marTop w:val="0"/>
                          <w:marBottom w:val="0"/>
                          <w:divBdr>
                            <w:top w:val="none" w:sz="0" w:space="0" w:color="auto"/>
                            <w:left w:val="none" w:sz="0" w:space="0" w:color="auto"/>
                            <w:bottom w:val="none" w:sz="0" w:space="0" w:color="auto"/>
                            <w:right w:val="none" w:sz="0" w:space="0" w:color="auto"/>
                          </w:divBdr>
                          <w:divsChild>
                            <w:div w:id="1442796630">
                              <w:marLeft w:val="0"/>
                              <w:marRight w:val="0"/>
                              <w:marTop w:val="0"/>
                              <w:marBottom w:val="0"/>
                              <w:divBdr>
                                <w:top w:val="none" w:sz="0" w:space="0" w:color="auto"/>
                                <w:left w:val="none" w:sz="0" w:space="0" w:color="auto"/>
                                <w:bottom w:val="none" w:sz="0" w:space="0" w:color="auto"/>
                                <w:right w:val="none" w:sz="0" w:space="0" w:color="auto"/>
                              </w:divBdr>
                              <w:divsChild>
                                <w:div w:id="1260288464">
                                  <w:marLeft w:val="0"/>
                                  <w:marRight w:val="0"/>
                                  <w:marTop w:val="0"/>
                                  <w:marBottom w:val="0"/>
                                  <w:divBdr>
                                    <w:top w:val="none" w:sz="0" w:space="0" w:color="auto"/>
                                    <w:left w:val="none" w:sz="0" w:space="0" w:color="auto"/>
                                    <w:bottom w:val="none" w:sz="0" w:space="0" w:color="auto"/>
                                    <w:right w:val="none" w:sz="0" w:space="0" w:color="auto"/>
                                  </w:divBdr>
                                  <w:divsChild>
                                    <w:div w:id="2192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3169">
                              <w:marLeft w:val="0"/>
                              <w:marRight w:val="0"/>
                              <w:marTop w:val="0"/>
                              <w:marBottom w:val="0"/>
                              <w:divBdr>
                                <w:top w:val="none" w:sz="0" w:space="0" w:color="auto"/>
                                <w:left w:val="none" w:sz="0" w:space="0" w:color="auto"/>
                                <w:bottom w:val="none" w:sz="0" w:space="0" w:color="auto"/>
                                <w:right w:val="none" w:sz="0" w:space="0" w:color="auto"/>
                              </w:divBdr>
                              <w:divsChild>
                                <w:div w:id="1620606373">
                                  <w:marLeft w:val="0"/>
                                  <w:marRight w:val="0"/>
                                  <w:marTop w:val="0"/>
                                  <w:marBottom w:val="0"/>
                                  <w:divBdr>
                                    <w:top w:val="none" w:sz="0" w:space="0" w:color="auto"/>
                                    <w:left w:val="none" w:sz="0" w:space="0" w:color="auto"/>
                                    <w:bottom w:val="none" w:sz="0" w:space="0" w:color="auto"/>
                                    <w:right w:val="none" w:sz="0" w:space="0" w:color="auto"/>
                                  </w:divBdr>
                                  <w:divsChild>
                                    <w:div w:id="3287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1034">
                              <w:marLeft w:val="0"/>
                              <w:marRight w:val="0"/>
                              <w:marTop w:val="0"/>
                              <w:marBottom w:val="0"/>
                              <w:divBdr>
                                <w:top w:val="none" w:sz="0" w:space="0" w:color="auto"/>
                                <w:left w:val="none" w:sz="0" w:space="0" w:color="auto"/>
                                <w:bottom w:val="none" w:sz="0" w:space="0" w:color="auto"/>
                                <w:right w:val="none" w:sz="0" w:space="0" w:color="auto"/>
                              </w:divBdr>
                              <w:divsChild>
                                <w:div w:id="1627469034">
                                  <w:marLeft w:val="0"/>
                                  <w:marRight w:val="0"/>
                                  <w:marTop w:val="0"/>
                                  <w:marBottom w:val="0"/>
                                  <w:divBdr>
                                    <w:top w:val="none" w:sz="0" w:space="0" w:color="auto"/>
                                    <w:left w:val="none" w:sz="0" w:space="0" w:color="auto"/>
                                    <w:bottom w:val="none" w:sz="0" w:space="0" w:color="auto"/>
                                    <w:right w:val="none" w:sz="0" w:space="0" w:color="auto"/>
                                  </w:divBdr>
                                  <w:divsChild>
                                    <w:div w:id="4558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362296">
      <w:bodyDiv w:val="1"/>
      <w:marLeft w:val="0"/>
      <w:marRight w:val="0"/>
      <w:marTop w:val="0"/>
      <w:marBottom w:val="0"/>
      <w:divBdr>
        <w:top w:val="none" w:sz="0" w:space="0" w:color="auto"/>
        <w:left w:val="none" w:sz="0" w:space="0" w:color="auto"/>
        <w:bottom w:val="none" w:sz="0" w:space="0" w:color="auto"/>
        <w:right w:val="none" w:sz="0" w:space="0" w:color="auto"/>
      </w:divBdr>
      <w:divsChild>
        <w:div w:id="510416136">
          <w:marLeft w:val="0"/>
          <w:marRight w:val="0"/>
          <w:marTop w:val="0"/>
          <w:marBottom w:val="0"/>
          <w:divBdr>
            <w:top w:val="none" w:sz="0" w:space="0" w:color="auto"/>
            <w:left w:val="none" w:sz="0" w:space="0" w:color="auto"/>
            <w:bottom w:val="none" w:sz="0" w:space="0" w:color="auto"/>
            <w:right w:val="none" w:sz="0" w:space="0" w:color="auto"/>
          </w:divBdr>
        </w:div>
      </w:divsChild>
    </w:div>
    <w:div w:id="151152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84C979793B4E749B4185969B884CE38" ma:contentTypeVersion="4" ma:contentTypeDescription="Tạo tài liệu mới." ma:contentTypeScope="" ma:versionID="57179e187c0f5cc9b6a7a553153b0c8b">
  <xsd:schema xmlns:xsd="http://www.w3.org/2001/XMLSchema" xmlns:xs="http://www.w3.org/2001/XMLSchema" xmlns:p="http://schemas.microsoft.com/office/2006/metadata/properties" xmlns:ns2="fcbd14b3-7b80-4fd6-9e77-b79da500fa23" xmlns:ns3="b6053cc3-c17f-452a-8bf3-45e3a077fbce" targetNamespace="http://schemas.microsoft.com/office/2006/metadata/properties" ma:root="true" ma:fieldsID="f4ef653488d193e4f990160a2b9837dc" ns2:_="" ns3:_="">
    <xsd:import namespace="fcbd14b3-7b80-4fd6-9e77-b79da500fa23"/>
    <xsd:import namespace="b6053cc3-c17f-452a-8bf3-45e3a077fbc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d14b3-7b80-4fd6-9e77-b79da500fa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053cc3-c17f-452a-8bf3-45e3a077fbce"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F3B89B-8F80-4345-BDFC-633DA8275A62}"/>
</file>

<file path=customXml/itemProps2.xml><?xml version="1.0" encoding="utf-8"?>
<ds:datastoreItem xmlns:ds="http://schemas.openxmlformats.org/officeDocument/2006/customXml" ds:itemID="{E4B2C9C6-2C07-433C-B370-67DDFFB41EEC}">
  <ds:schemaRefs>
    <ds:schemaRef ds:uri="http://schemas.microsoft.com/sharepoint/v3/contenttype/forms"/>
  </ds:schemaRefs>
</ds:datastoreItem>
</file>

<file path=customXml/itemProps3.xml><?xml version="1.0" encoding="utf-8"?>
<ds:datastoreItem xmlns:ds="http://schemas.openxmlformats.org/officeDocument/2006/customXml" ds:itemID="{8B14E4C0-504A-4580-A7D4-8E0863D4AEB7}">
  <ds:schemaRefs>
    <ds:schemaRef ds:uri="http://schemas.microsoft.com/office/2006/metadata/properties"/>
    <ds:schemaRef ds:uri="http://schemas.microsoft.com/office/infopath/2007/PartnerControls"/>
    <ds:schemaRef ds:uri="577be9c3-6a27-4b01-80c6-190432c80724"/>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Duy Khoa</dc:creator>
  <cp:keywords/>
  <dc:description/>
  <cp:lastModifiedBy>Dương Duy Khoa</cp:lastModifiedBy>
  <cp:revision>1</cp:revision>
  <dcterms:created xsi:type="dcterms:W3CDTF">2020-07-29T12:14:00Z</dcterms:created>
  <dcterms:modified xsi:type="dcterms:W3CDTF">2020-07-29T13:24:00Z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0x010100E84C979793B4E749B4185969B884CE38</vt:lpwstr>
  </property>
</Properties>
</file>