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C4290">
        <w:t xml:space="preserve"> lap phieu xuat, nhan vien</w:t>
      </w:r>
      <w:bookmarkStart w:id="0" w:name="_GoBack"/>
      <w:bookmarkEnd w:id="0"/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FF1044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63872" behindDoc="0" locked="0" layoutInCell="1" allowOverlap="1" wp14:anchorId="6071191B" wp14:editId="6DDD10C0">
            <wp:simplePos x="0" y="0"/>
            <wp:positionH relativeFrom="column">
              <wp:posOffset>106045</wp:posOffset>
            </wp:positionH>
            <wp:positionV relativeFrom="paragraph">
              <wp:posOffset>375920</wp:posOffset>
            </wp:positionV>
            <wp:extent cx="5580380" cy="6416675"/>
            <wp:effectExtent l="0" t="0" r="127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B46B13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2C790A6" wp14:editId="0D04FA90">
            <wp:simplePos x="0" y="0"/>
            <wp:positionH relativeFrom="column">
              <wp:posOffset>-182228</wp:posOffset>
            </wp:positionH>
            <wp:positionV relativeFrom="paragraph">
              <wp:posOffset>307203</wp:posOffset>
            </wp:positionV>
            <wp:extent cx="5939155" cy="327025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B46B13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0800" behindDoc="0" locked="0" layoutInCell="1" allowOverlap="1" wp14:anchorId="40F6977D" wp14:editId="4F1E6E27">
            <wp:simplePos x="0" y="0"/>
            <wp:positionH relativeFrom="column">
              <wp:posOffset>147646</wp:posOffset>
            </wp:positionH>
            <wp:positionV relativeFrom="paragraph">
              <wp:posOffset>360320</wp:posOffset>
            </wp:positionV>
            <wp:extent cx="5827395" cy="56667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4DC5"/>
    <w:rsid w:val="00461F4D"/>
    <w:rsid w:val="00477F77"/>
    <w:rsid w:val="00480F6D"/>
    <w:rsid w:val="004909F5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E21DC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B122E0"/>
    <w:rsid w:val="00B227C0"/>
    <w:rsid w:val="00B406CD"/>
    <w:rsid w:val="00B457DF"/>
    <w:rsid w:val="00B46B13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1F1C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B277-6EFA-47EF-B0E5-D27BE942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218</cp:revision>
  <dcterms:created xsi:type="dcterms:W3CDTF">2019-09-16T06:43:00Z</dcterms:created>
  <dcterms:modified xsi:type="dcterms:W3CDTF">2019-09-30T05:55:00Z</dcterms:modified>
</cp:coreProperties>
</file>