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A413867">
      <w:pPr>
        <w:jc w:val="center"/>
        <w:rPr>
          <w:rFonts w:hint="default"/>
          <w:b/>
          <w:bCs/>
          <w:sz w:val="52"/>
          <w:szCs w:val="52"/>
          <w:lang w:val="vi-VN"/>
        </w:rPr>
      </w:pPr>
      <w:r>
        <w:rPr>
          <w:rFonts w:hint="default"/>
          <w:b/>
          <w:bCs/>
          <w:sz w:val="52"/>
          <w:szCs w:val="52"/>
          <w:lang w:val="vi-VN"/>
        </w:rPr>
        <w:t>Lab 1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891"/>
        <w:gridCol w:w="3375"/>
        <w:gridCol w:w="3256"/>
      </w:tblGrid>
      <w:tr w14:paraId="260B74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98" w:type="dxa"/>
            <w:tcBorders>
              <w:bottom w:val="single" w:color="auto" w:sz="4" w:space="0"/>
            </w:tcBorders>
          </w:tcPr>
          <w:p w14:paraId="48AF3C64">
            <w:pPr>
              <w:jc w:val="center"/>
              <w:rPr>
                <w:rFonts w:hint="default"/>
                <w:b/>
                <w:bCs/>
                <w:sz w:val="32"/>
                <w:szCs w:val="32"/>
                <w:vertAlign w:val="baseline"/>
                <w:lang w:val="vi-VN"/>
              </w:rPr>
            </w:pPr>
            <w:r>
              <w:rPr>
                <w:rFonts w:hint="default"/>
                <w:b/>
                <w:bCs/>
                <w:sz w:val="32"/>
                <w:szCs w:val="32"/>
                <w:vertAlign w:val="baseline"/>
                <w:lang w:val="vi-VN"/>
              </w:rPr>
              <w:t>Category</w:t>
            </w:r>
          </w:p>
        </w:tc>
        <w:tc>
          <w:tcPr>
            <w:tcW w:w="3362" w:type="dxa"/>
            <w:tcBorders>
              <w:bottom w:val="single" w:color="auto" w:sz="4" w:space="0"/>
            </w:tcBorders>
          </w:tcPr>
          <w:p w14:paraId="6324D46D">
            <w:pPr>
              <w:jc w:val="center"/>
              <w:rPr>
                <w:rFonts w:hint="default"/>
                <w:b/>
                <w:bCs/>
                <w:sz w:val="32"/>
                <w:szCs w:val="32"/>
                <w:vertAlign w:val="baseline"/>
                <w:lang w:val="vi-VN"/>
              </w:rPr>
            </w:pPr>
            <w:r>
              <w:rPr>
                <w:rFonts w:hint="default"/>
                <w:b/>
                <w:bCs/>
                <w:sz w:val="32"/>
                <w:szCs w:val="32"/>
                <w:vertAlign w:val="baseline"/>
                <w:lang w:val="vi-VN"/>
              </w:rPr>
              <w:t>C#</w:t>
            </w:r>
          </w:p>
        </w:tc>
        <w:tc>
          <w:tcPr>
            <w:tcW w:w="3362" w:type="dxa"/>
            <w:tcBorders>
              <w:bottom w:val="single" w:color="auto" w:sz="4" w:space="0"/>
            </w:tcBorders>
          </w:tcPr>
          <w:p w14:paraId="1CDA3A6C">
            <w:pPr>
              <w:jc w:val="center"/>
              <w:rPr>
                <w:rFonts w:hint="default"/>
                <w:b/>
                <w:bCs/>
                <w:sz w:val="32"/>
                <w:szCs w:val="32"/>
                <w:vertAlign w:val="baseline"/>
                <w:lang w:val="vi-VN"/>
              </w:rPr>
            </w:pPr>
            <w:r>
              <w:rPr>
                <w:rFonts w:hint="default"/>
                <w:b/>
                <w:bCs/>
                <w:sz w:val="32"/>
                <w:szCs w:val="32"/>
                <w:vertAlign w:val="baseline"/>
                <w:lang w:val="vi-VN"/>
              </w:rPr>
              <w:t>Java</w:t>
            </w:r>
          </w:p>
        </w:tc>
      </w:tr>
      <w:tr w14:paraId="1B2B2FA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98" w:type="dxa"/>
            <w:tcBorders>
              <w:top w:val="single" w:color="auto" w:sz="4" w:space="0"/>
              <w:left w:val="single" w:color="auto" w:sz="4" w:space="0"/>
            </w:tcBorders>
          </w:tcPr>
          <w:p w14:paraId="341897EB">
            <w:pPr>
              <w:spacing w:line="240" w:lineRule="auto"/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vi-VN"/>
              </w:rPr>
              <w:t>Classes</w:t>
            </w:r>
          </w:p>
        </w:tc>
        <w:tc>
          <w:tcPr>
            <w:tcW w:w="3362" w:type="dxa"/>
            <w:tcBorders>
              <w:top w:val="single" w:color="auto" w:sz="4" w:space="0"/>
            </w:tcBorders>
          </w:tcPr>
          <w:p w14:paraId="7DBE72F0">
            <w:pPr>
              <w:spacing w:line="240" w:lineRule="auto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vi-VN"/>
              </w:rPr>
              <w:t>PascalCase (e.g., CustomerOrder)</w:t>
            </w:r>
          </w:p>
        </w:tc>
        <w:tc>
          <w:tcPr>
            <w:tcW w:w="3362" w:type="dxa"/>
            <w:tcBorders>
              <w:top w:val="single" w:color="auto" w:sz="4" w:space="0"/>
              <w:right w:val="single" w:color="auto" w:sz="4" w:space="0"/>
            </w:tcBorders>
          </w:tcPr>
          <w:p w14:paraId="29F0342B">
            <w:pPr>
              <w:spacing w:line="240" w:lineRule="auto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vi-VN"/>
              </w:rPr>
              <w:t>PascalCase (e.g., CustomerOrder)</w:t>
            </w:r>
          </w:p>
        </w:tc>
      </w:tr>
      <w:tr w14:paraId="6208FD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98" w:type="dxa"/>
            <w:tcBorders>
              <w:left w:val="single" w:color="auto" w:sz="4" w:space="0"/>
            </w:tcBorders>
          </w:tcPr>
          <w:p w14:paraId="6CCC5C90">
            <w:pPr>
              <w:spacing w:line="240" w:lineRule="auto"/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vi-VN"/>
              </w:rPr>
              <w:t>Interfaces</w:t>
            </w:r>
          </w:p>
        </w:tc>
        <w:tc>
          <w:tcPr>
            <w:tcW w:w="3362" w:type="dxa"/>
          </w:tcPr>
          <w:p w14:paraId="4030AC41">
            <w:pPr>
              <w:spacing w:line="240" w:lineRule="auto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vi-VN"/>
              </w:rPr>
              <w:t>PascalCase (e.g., IShape)</w:t>
            </w:r>
          </w:p>
        </w:tc>
        <w:tc>
          <w:tcPr>
            <w:tcW w:w="3362" w:type="dxa"/>
            <w:tcBorders>
              <w:right w:val="single" w:color="auto" w:sz="4" w:space="0"/>
            </w:tcBorders>
          </w:tcPr>
          <w:p w14:paraId="22F451C2">
            <w:pPr>
              <w:spacing w:line="240" w:lineRule="auto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vi-VN"/>
              </w:rPr>
              <w:t>PascalCase, often prefixed with "I" (e.g., Shape)</w:t>
            </w:r>
          </w:p>
        </w:tc>
      </w:tr>
      <w:tr w14:paraId="5354F2F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98" w:type="dxa"/>
            <w:tcBorders>
              <w:left w:val="single" w:color="auto" w:sz="4" w:space="0"/>
            </w:tcBorders>
          </w:tcPr>
          <w:p w14:paraId="6DDF22BA">
            <w:pPr>
              <w:spacing w:line="240" w:lineRule="auto"/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vi-VN"/>
              </w:rPr>
              <w:t>Methods</w:t>
            </w:r>
          </w:p>
        </w:tc>
        <w:tc>
          <w:tcPr>
            <w:tcW w:w="3362" w:type="dxa"/>
          </w:tcPr>
          <w:p w14:paraId="2A1F4539">
            <w:pPr>
              <w:spacing w:line="240" w:lineRule="auto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vi-VN"/>
              </w:rPr>
              <w:t>PascalCase (e.g., CalculateTotal())</w:t>
            </w:r>
          </w:p>
        </w:tc>
        <w:tc>
          <w:tcPr>
            <w:tcW w:w="3362" w:type="dxa"/>
            <w:tcBorders>
              <w:right w:val="single" w:color="auto" w:sz="4" w:space="0"/>
            </w:tcBorders>
          </w:tcPr>
          <w:p w14:paraId="117472AB">
            <w:pPr>
              <w:spacing w:line="240" w:lineRule="auto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vi-VN"/>
              </w:rPr>
              <w:t>camelCase (e.g., calculateTotal())</w:t>
            </w:r>
          </w:p>
        </w:tc>
      </w:tr>
      <w:tr w14:paraId="1367B5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98" w:type="dxa"/>
            <w:tcBorders>
              <w:left w:val="single" w:color="auto" w:sz="4" w:space="0"/>
            </w:tcBorders>
          </w:tcPr>
          <w:p w14:paraId="55015F94">
            <w:pPr>
              <w:spacing w:line="240" w:lineRule="auto"/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vi-VN"/>
              </w:rPr>
              <w:t>Variables</w:t>
            </w:r>
          </w:p>
        </w:tc>
        <w:tc>
          <w:tcPr>
            <w:tcW w:w="3362" w:type="dxa"/>
          </w:tcPr>
          <w:p w14:paraId="72BA00A0">
            <w:pPr>
              <w:spacing w:line="240" w:lineRule="auto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vi-VN"/>
              </w:rPr>
              <w:t>camelCase (e.g., customerName)</w:t>
            </w:r>
          </w:p>
        </w:tc>
        <w:tc>
          <w:tcPr>
            <w:tcW w:w="3362" w:type="dxa"/>
            <w:tcBorders>
              <w:right w:val="single" w:color="auto" w:sz="4" w:space="0"/>
            </w:tcBorders>
          </w:tcPr>
          <w:p w14:paraId="20F9FD74">
            <w:pPr>
              <w:spacing w:line="240" w:lineRule="auto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vi-VN"/>
              </w:rPr>
              <w:t>camelCase (e.g., customerName)</w:t>
            </w:r>
          </w:p>
        </w:tc>
      </w:tr>
      <w:tr w14:paraId="59C5AB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98" w:type="dxa"/>
            <w:tcBorders>
              <w:left w:val="single" w:color="auto" w:sz="4" w:space="0"/>
            </w:tcBorders>
          </w:tcPr>
          <w:p w14:paraId="219E63E1">
            <w:pPr>
              <w:spacing w:line="240" w:lineRule="auto"/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vi-VN"/>
              </w:rPr>
              <w:t>Constants</w:t>
            </w:r>
          </w:p>
        </w:tc>
        <w:tc>
          <w:tcPr>
            <w:tcW w:w="3362" w:type="dxa"/>
          </w:tcPr>
          <w:p w14:paraId="203F657A">
            <w:pPr>
              <w:spacing w:line="240" w:lineRule="auto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vi-VN"/>
              </w:rPr>
              <w:t>PascalCase or ALL_UPPERCASE_WITH_UNDERSCORES (e.g., MaxValue or MAX_VALUE)</w:t>
            </w:r>
          </w:p>
        </w:tc>
        <w:tc>
          <w:tcPr>
            <w:tcW w:w="3362" w:type="dxa"/>
            <w:tcBorders>
              <w:right w:val="single" w:color="auto" w:sz="4" w:space="0"/>
            </w:tcBorders>
          </w:tcPr>
          <w:p w14:paraId="7B7412EF">
            <w:pPr>
              <w:spacing w:line="240" w:lineRule="auto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vi-VN"/>
              </w:rPr>
              <w:t>ALL_UPPERCASE_WITH_UNDERSCORES (e.g., MAX_VALUE)</w:t>
            </w:r>
          </w:p>
        </w:tc>
      </w:tr>
      <w:tr w14:paraId="1303E6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98" w:type="dxa"/>
            <w:tcBorders>
              <w:left w:val="single" w:color="auto" w:sz="4" w:space="0"/>
            </w:tcBorders>
          </w:tcPr>
          <w:p w14:paraId="34023631">
            <w:pPr>
              <w:spacing w:line="240" w:lineRule="auto"/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vi-VN"/>
              </w:rPr>
              <w:t>Namespaces</w:t>
            </w:r>
          </w:p>
        </w:tc>
        <w:tc>
          <w:tcPr>
            <w:tcW w:w="3362" w:type="dxa"/>
          </w:tcPr>
          <w:p w14:paraId="0FE913F9">
            <w:pPr>
              <w:spacing w:line="240" w:lineRule="auto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vi-VN"/>
              </w:rPr>
              <w:t>PascalCase (e.g., MyCompany.MyProduct)</w:t>
            </w:r>
          </w:p>
        </w:tc>
        <w:tc>
          <w:tcPr>
            <w:tcW w:w="3362" w:type="dxa"/>
            <w:tcBorders>
              <w:right w:val="single" w:color="auto" w:sz="4" w:space="0"/>
            </w:tcBorders>
          </w:tcPr>
          <w:p w14:paraId="276F748B">
            <w:pPr>
              <w:spacing w:line="240" w:lineRule="auto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vi-VN"/>
              </w:rPr>
              <w:t>all lowercase (e.g., com.mycompany.myproduct)</w:t>
            </w:r>
          </w:p>
        </w:tc>
      </w:tr>
      <w:tr w14:paraId="643327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98" w:type="dxa"/>
            <w:tcBorders>
              <w:left w:val="single" w:color="auto" w:sz="4" w:space="0"/>
            </w:tcBorders>
          </w:tcPr>
          <w:p w14:paraId="5EAE13E4">
            <w:pPr>
              <w:spacing w:line="240" w:lineRule="auto"/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vi-VN"/>
              </w:rPr>
              <w:t>Braces</w:t>
            </w:r>
          </w:p>
        </w:tc>
        <w:tc>
          <w:tcPr>
            <w:tcW w:w="3362" w:type="dxa"/>
          </w:tcPr>
          <w:p w14:paraId="53D740F4">
            <w:pPr>
              <w:spacing w:line="240" w:lineRule="auto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vi-VN"/>
              </w:rPr>
              <w:t>Opening brace on the same line</w:t>
            </w:r>
          </w:p>
        </w:tc>
        <w:tc>
          <w:tcPr>
            <w:tcW w:w="3362" w:type="dxa"/>
            <w:tcBorders>
              <w:right w:val="single" w:color="auto" w:sz="4" w:space="0"/>
            </w:tcBorders>
          </w:tcPr>
          <w:p w14:paraId="319D2902">
            <w:pPr>
              <w:spacing w:line="240" w:lineRule="auto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vi-VN"/>
              </w:rPr>
              <w:t>Opening brace on the same line</w:t>
            </w:r>
          </w:p>
        </w:tc>
      </w:tr>
      <w:tr w14:paraId="60167C8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98" w:type="dxa"/>
            <w:tcBorders>
              <w:left w:val="single" w:color="auto" w:sz="4" w:space="0"/>
            </w:tcBorders>
          </w:tcPr>
          <w:p w14:paraId="5F541C7C">
            <w:pPr>
              <w:spacing w:line="240" w:lineRule="auto"/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vi-VN"/>
              </w:rPr>
              <w:t>Indentation</w:t>
            </w:r>
          </w:p>
        </w:tc>
        <w:tc>
          <w:tcPr>
            <w:tcW w:w="3362" w:type="dxa"/>
          </w:tcPr>
          <w:p w14:paraId="014FD248">
            <w:pPr>
              <w:spacing w:line="240" w:lineRule="auto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vi-VN"/>
              </w:rPr>
              <w:t>Typically 4 spaces</w:t>
            </w:r>
          </w:p>
        </w:tc>
        <w:tc>
          <w:tcPr>
            <w:tcW w:w="3362" w:type="dxa"/>
            <w:tcBorders>
              <w:right w:val="single" w:color="auto" w:sz="4" w:space="0"/>
            </w:tcBorders>
          </w:tcPr>
          <w:p w14:paraId="6606F515">
            <w:pPr>
              <w:spacing w:line="240" w:lineRule="auto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vi-VN"/>
              </w:rPr>
              <w:t>Typically 4 spaces</w:t>
            </w:r>
          </w:p>
        </w:tc>
      </w:tr>
      <w:tr w14:paraId="04ECED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98" w:type="dxa"/>
            <w:tcBorders>
              <w:left w:val="single" w:color="auto" w:sz="4" w:space="0"/>
            </w:tcBorders>
          </w:tcPr>
          <w:p w14:paraId="24268FF1">
            <w:pPr>
              <w:spacing w:line="240" w:lineRule="auto"/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vi-VN"/>
              </w:rPr>
              <w:t>Single-line Comments</w:t>
            </w:r>
          </w:p>
        </w:tc>
        <w:tc>
          <w:tcPr>
            <w:tcW w:w="3362" w:type="dxa"/>
          </w:tcPr>
          <w:p w14:paraId="22230ADD">
            <w:pPr>
              <w:spacing w:line="240" w:lineRule="auto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vi-VN"/>
              </w:rPr>
              <w:t>//</w:t>
            </w:r>
          </w:p>
        </w:tc>
        <w:tc>
          <w:tcPr>
            <w:tcW w:w="3362" w:type="dxa"/>
            <w:tcBorders>
              <w:right w:val="single" w:color="auto" w:sz="4" w:space="0"/>
            </w:tcBorders>
          </w:tcPr>
          <w:p w14:paraId="5451FB7F">
            <w:pPr>
              <w:spacing w:line="240" w:lineRule="auto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vi-VN"/>
              </w:rPr>
              <w:t>//</w:t>
            </w:r>
          </w:p>
        </w:tc>
      </w:tr>
      <w:tr w14:paraId="24A35A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98" w:type="dxa"/>
            <w:tcBorders>
              <w:left w:val="single" w:color="auto" w:sz="4" w:space="0"/>
            </w:tcBorders>
          </w:tcPr>
          <w:p w14:paraId="5EC611EE">
            <w:pPr>
              <w:spacing w:line="240" w:lineRule="auto"/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vi-VN"/>
              </w:rPr>
              <w:t>Multi-line Comments</w:t>
            </w:r>
          </w:p>
        </w:tc>
        <w:tc>
          <w:tcPr>
            <w:tcW w:w="3362" w:type="dxa"/>
          </w:tcPr>
          <w:p w14:paraId="5D3F5394">
            <w:pPr>
              <w:spacing w:line="240" w:lineRule="auto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vi-VN"/>
              </w:rPr>
              <w:t>/* ... */</w:t>
            </w:r>
          </w:p>
        </w:tc>
        <w:tc>
          <w:tcPr>
            <w:tcW w:w="3362" w:type="dxa"/>
            <w:tcBorders>
              <w:right w:val="single" w:color="auto" w:sz="4" w:space="0"/>
            </w:tcBorders>
          </w:tcPr>
          <w:p w14:paraId="07933C4A">
            <w:pPr>
              <w:spacing w:line="240" w:lineRule="auto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vi-VN"/>
              </w:rPr>
              <w:t>/* ... */</w:t>
            </w:r>
          </w:p>
        </w:tc>
      </w:tr>
      <w:tr w14:paraId="705F33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98" w:type="dxa"/>
            <w:tcBorders>
              <w:left w:val="single" w:color="auto" w:sz="4" w:space="0"/>
            </w:tcBorders>
          </w:tcPr>
          <w:p w14:paraId="40A84301">
            <w:pPr>
              <w:spacing w:line="240" w:lineRule="auto"/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vi-VN"/>
              </w:rPr>
              <w:t>XML Documentation</w:t>
            </w:r>
          </w:p>
        </w:tc>
        <w:tc>
          <w:tcPr>
            <w:tcW w:w="3362" w:type="dxa"/>
            <w:tcBorders/>
          </w:tcPr>
          <w:p w14:paraId="38FB8507">
            <w:pPr>
              <w:spacing w:line="240" w:lineRule="auto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vi-VN"/>
              </w:rPr>
              <w:t>///</w:t>
            </w:r>
          </w:p>
        </w:tc>
        <w:tc>
          <w:tcPr>
            <w:tcW w:w="3362" w:type="dxa"/>
            <w:tcBorders>
              <w:right w:val="single" w:color="auto" w:sz="4" w:space="0"/>
            </w:tcBorders>
          </w:tcPr>
          <w:p w14:paraId="7F84338F">
            <w:pPr>
              <w:spacing w:line="240" w:lineRule="auto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vi-VN"/>
              </w:rPr>
              <w:t>/** ... */ (for Javadoc)</w:t>
            </w:r>
          </w:p>
        </w:tc>
      </w:tr>
      <w:tr w14:paraId="26B582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98" w:type="dxa"/>
            <w:tcBorders>
              <w:left w:val="single" w:color="auto" w:sz="4" w:space="0"/>
            </w:tcBorders>
          </w:tcPr>
          <w:p w14:paraId="60E2A72F">
            <w:pPr>
              <w:spacing w:line="240" w:lineRule="auto"/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vi-VN"/>
              </w:rPr>
              <w:t>Properties</w:t>
            </w:r>
          </w:p>
        </w:tc>
        <w:tc>
          <w:tcPr>
            <w:tcW w:w="3362" w:type="dxa"/>
            <w:tcBorders/>
          </w:tcPr>
          <w:p w14:paraId="2C3642B7">
            <w:pPr>
              <w:spacing w:line="240" w:lineRule="auto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vi-VN"/>
              </w:rPr>
              <w:t>Uses PascalCase for property names (e.g., public string Name { get; set; })</w:t>
            </w:r>
          </w:p>
        </w:tc>
        <w:tc>
          <w:tcPr>
            <w:tcW w:w="3362" w:type="dxa"/>
            <w:tcBorders>
              <w:right w:val="single" w:color="auto" w:sz="4" w:space="0"/>
            </w:tcBorders>
          </w:tcPr>
          <w:p w14:paraId="30C3F904">
            <w:pPr>
              <w:spacing w:line="240" w:lineRule="auto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vi-VN"/>
              </w:rPr>
              <w:t>Uses camelCase for getter/setter methods (e.g., public String getName())</w:t>
            </w:r>
          </w:p>
        </w:tc>
      </w:tr>
      <w:tr w14:paraId="309855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98" w:type="dxa"/>
            <w:tcBorders>
              <w:left w:val="single" w:color="auto" w:sz="4" w:space="0"/>
            </w:tcBorders>
          </w:tcPr>
          <w:p w14:paraId="0C389D97">
            <w:pPr>
              <w:spacing w:line="240" w:lineRule="auto"/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vi-VN"/>
              </w:rPr>
              <w:t>Events</w:t>
            </w:r>
          </w:p>
        </w:tc>
        <w:tc>
          <w:tcPr>
            <w:tcW w:w="3362" w:type="dxa"/>
            <w:tcBorders/>
          </w:tcPr>
          <w:p w14:paraId="67D001C6">
            <w:pPr>
              <w:spacing w:line="240" w:lineRule="auto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vi-VN"/>
              </w:rPr>
              <w:t>Uses PascalCase for event names (e.g., public event EventHandler MyEvent;)</w:t>
            </w:r>
          </w:p>
        </w:tc>
        <w:tc>
          <w:tcPr>
            <w:tcW w:w="3362" w:type="dxa"/>
            <w:tcBorders>
              <w:right w:val="single" w:color="auto" w:sz="4" w:space="0"/>
            </w:tcBorders>
          </w:tcPr>
          <w:p w14:paraId="0BE85470">
            <w:pPr>
              <w:spacing w:line="240" w:lineRule="auto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vi-VN"/>
              </w:rPr>
              <w:t>Uses PascalCase for event names (e.g., public EventListener myEvent;)</w:t>
            </w:r>
          </w:p>
        </w:tc>
      </w:tr>
      <w:tr w14:paraId="5B571A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98" w:type="dxa"/>
            <w:tcBorders>
              <w:left w:val="single" w:color="auto" w:sz="4" w:space="0"/>
            </w:tcBorders>
          </w:tcPr>
          <w:p w14:paraId="3CBF3C62">
            <w:pPr>
              <w:spacing w:line="240" w:lineRule="auto"/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vi-VN"/>
              </w:rPr>
              <w:t>Enums</w:t>
            </w:r>
          </w:p>
        </w:tc>
        <w:tc>
          <w:tcPr>
            <w:tcW w:w="3362" w:type="dxa"/>
            <w:tcBorders/>
          </w:tcPr>
          <w:p w14:paraId="2254A7B8">
            <w:pPr>
              <w:spacing w:line="240" w:lineRule="auto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vi-VN"/>
              </w:rPr>
              <w:t>Enum names use PascalCase, values use PascalCase (e.g., public enum Color { Red, Green, Blue })</w:t>
            </w:r>
          </w:p>
        </w:tc>
        <w:tc>
          <w:tcPr>
            <w:tcW w:w="3362" w:type="dxa"/>
            <w:tcBorders>
              <w:right w:val="single" w:color="auto" w:sz="4" w:space="0"/>
            </w:tcBorders>
          </w:tcPr>
          <w:p w14:paraId="09F22AE5">
            <w:pPr>
              <w:spacing w:line="240" w:lineRule="auto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vi-VN"/>
              </w:rPr>
              <w:t>Enum names use PascalCase, values use ALL_UPPERCASE_WITH_UNDERSCORES (e.g., public enum Color { RED, GREEN, BLUE })</w:t>
            </w:r>
          </w:p>
        </w:tc>
      </w:tr>
      <w:tr w14:paraId="29ED773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98" w:type="dxa"/>
            <w:tcBorders>
              <w:left w:val="single" w:color="auto" w:sz="4" w:space="0"/>
            </w:tcBorders>
          </w:tcPr>
          <w:p w14:paraId="51C2B726">
            <w:pPr>
              <w:spacing w:line="240" w:lineRule="auto"/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vi-VN"/>
              </w:rPr>
              <w:t>Exception Handling</w:t>
            </w:r>
          </w:p>
        </w:tc>
        <w:tc>
          <w:tcPr>
            <w:tcW w:w="3362" w:type="dxa"/>
            <w:tcBorders/>
          </w:tcPr>
          <w:p w14:paraId="189B2758">
            <w:pPr>
              <w:spacing w:line="240" w:lineRule="auto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vi-VN"/>
              </w:rPr>
              <w:t>Uses try-catch-finally blocks, with catch typically using the exception type (e.g., catch (Exception ex))</w:t>
            </w:r>
          </w:p>
        </w:tc>
        <w:tc>
          <w:tcPr>
            <w:tcW w:w="3362" w:type="dxa"/>
            <w:tcBorders>
              <w:right w:val="single" w:color="auto" w:sz="4" w:space="0"/>
            </w:tcBorders>
          </w:tcPr>
          <w:p w14:paraId="0DD09E25">
            <w:pPr>
              <w:spacing w:line="240" w:lineRule="auto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vi-VN"/>
              </w:rPr>
              <w:t>Uses try-catch-finally blocks, with catch typically using the exception type (e.g., catch (Exception e))</w:t>
            </w:r>
          </w:p>
        </w:tc>
      </w:tr>
      <w:tr w14:paraId="405B68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98" w:type="dxa"/>
            <w:tcBorders>
              <w:left w:val="single" w:color="auto" w:sz="4" w:space="0"/>
            </w:tcBorders>
          </w:tcPr>
          <w:p w14:paraId="466445BC">
            <w:pPr>
              <w:spacing w:line="240" w:lineRule="auto"/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vi-VN"/>
              </w:rPr>
              <w:t>Namespaces/Packages</w:t>
            </w:r>
          </w:p>
        </w:tc>
        <w:tc>
          <w:tcPr>
            <w:tcW w:w="3362" w:type="dxa"/>
            <w:tcBorders/>
          </w:tcPr>
          <w:p w14:paraId="1AC3BE66">
            <w:pPr>
              <w:spacing w:line="240" w:lineRule="auto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vi-VN"/>
              </w:rPr>
              <w:t>Namespaces can be nested and are often organized by functionality (e.g., MyCompany.MyProduct.Services)</w:t>
            </w:r>
          </w:p>
        </w:tc>
        <w:tc>
          <w:tcPr>
            <w:tcW w:w="3362" w:type="dxa"/>
            <w:tcBorders>
              <w:right w:val="single" w:color="auto" w:sz="4" w:space="0"/>
            </w:tcBorders>
          </w:tcPr>
          <w:p w14:paraId="64FAF7C1">
            <w:pPr>
              <w:spacing w:line="240" w:lineRule="auto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vi-VN"/>
              </w:rPr>
              <w:t>Packages are hierarchical and often reflect the directory structure (e.g., com.mycompany.myproduct.services)</w:t>
            </w:r>
          </w:p>
        </w:tc>
      </w:tr>
      <w:tr w14:paraId="6CB769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98" w:type="dxa"/>
            <w:tcBorders>
              <w:left w:val="single" w:color="auto" w:sz="4" w:space="0"/>
            </w:tcBorders>
          </w:tcPr>
          <w:p w14:paraId="50FBDDC3">
            <w:pPr>
              <w:spacing w:line="240" w:lineRule="auto"/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vi-VN"/>
              </w:rPr>
              <w:t>Static Classes</w:t>
            </w:r>
          </w:p>
        </w:tc>
        <w:tc>
          <w:tcPr>
            <w:tcW w:w="3362" w:type="dxa"/>
            <w:tcBorders/>
          </w:tcPr>
          <w:p w14:paraId="0314CF78">
            <w:pPr>
              <w:spacing w:line="240" w:lineRule="auto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vi-VN"/>
              </w:rPr>
              <w:t>Can define static classes (e.g., public static class MathUtils { ... })</w:t>
            </w:r>
          </w:p>
        </w:tc>
        <w:tc>
          <w:tcPr>
            <w:tcW w:w="3362" w:type="dxa"/>
            <w:tcBorders>
              <w:right w:val="single" w:color="auto" w:sz="4" w:space="0"/>
            </w:tcBorders>
          </w:tcPr>
          <w:p w14:paraId="757E2A7C">
            <w:pPr>
              <w:spacing w:line="240" w:lineRule="auto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vi-VN"/>
              </w:rPr>
              <w:t>Can define utility classes with private constructors to prevent instantiation (e.g., public final class MathUtils { private MathUtils() { } })</w:t>
            </w:r>
          </w:p>
        </w:tc>
      </w:tr>
      <w:tr w14:paraId="1588171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98" w:type="dxa"/>
            <w:tcBorders>
              <w:left w:val="single" w:color="auto" w:sz="4" w:space="0"/>
            </w:tcBorders>
          </w:tcPr>
          <w:p w14:paraId="18FD1E40">
            <w:pPr>
              <w:spacing w:line="240" w:lineRule="auto"/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vi-VN"/>
              </w:rPr>
              <w:t>Lambda Expressions</w:t>
            </w:r>
          </w:p>
        </w:tc>
        <w:tc>
          <w:tcPr>
            <w:tcW w:w="3362" w:type="dxa"/>
            <w:tcBorders/>
          </w:tcPr>
          <w:p w14:paraId="008D9F91">
            <w:pPr>
              <w:spacing w:line="240" w:lineRule="auto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vi-VN"/>
              </w:rPr>
              <w:t>Uses =&gt; syntax (e.g., x =&gt; x * x)</w:t>
            </w:r>
          </w:p>
        </w:tc>
        <w:tc>
          <w:tcPr>
            <w:tcW w:w="3362" w:type="dxa"/>
            <w:tcBorders>
              <w:right w:val="single" w:color="auto" w:sz="4" w:space="0"/>
            </w:tcBorders>
          </w:tcPr>
          <w:p w14:paraId="19B33E00">
            <w:pPr>
              <w:spacing w:line="240" w:lineRule="auto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vi-VN"/>
              </w:rPr>
              <w:t>Uses -&gt; syntax (e.g., x -&gt; x * x)</w:t>
            </w:r>
          </w:p>
        </w:tc>
      </w:tr>
      <w:tr w14:paraId="2EEDD0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98" w:type="dxa"/>
            <w:tcBorders>
              <w:left w:val="single" w:color="auto" w:sz="4" w:space="0"/>
            </w:tcBorders>
          </w:tcPr>
          <w:p w14:paraId="06DA14C7">
            <w:pPr>
              <w:spacing w:line="240" w:lineRule="auto"/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vi-VN"/>
              </w:rPr>
              <w:t>Attributes/Annotations</w:t>
            </w:r>
          </w:p>
        </w:tc>
        <w:tc>
          <w:tcPr>
            <w:tcW w:w="3362" w:type="dxa"/>
            <w:tcBorders/>
          </w:tcPr>
          <w:p w14:paraId="126AFC6C">
            <w:pPr>
              <w:spacing w:line="240" w:lineRule="auto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vi-VN"/>
              </w:rPr>
              <w:t>Uses attributes (e.g., [Obsolete])</w:t>
            </w:r>
          </w:p>
        </w:tc>
        <w:tc>
          <w:tcPr>
            <w:tcW w:w="3362" w:type="dxa"/>
            <w:tcBorders>
              <w:right w:val="single" w:color="auto" w:sz="4" w:space="0"/>
            </w:tcBorders>
          </w:tcPr>
          <w:p w14:paraId="3DB02775">
            <w:pPr>
              <w:spacing w:line="240" w:lineRule="auto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vi-VN"/>
              </w:rPr>
              <w:t>Uses annotations (e.g., @Deprecated)</w:t>
            </w:r>
          </w:p>
        </w:tc>
      </w:tr>
      <w:tr w14:paraId="28EF80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98" w:type="dxa"/>
            <w:tcBorders>
              <w:left w:val="single" w:color="auto" w:sz="4" w:space="0"/>
            </w:tcBorders>
          </w:tcPr>
          <w:p w14:paraId="001DBD83">
            <w:pPr>
              <w:spacing w:line="240" w:lineRule="auto"/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vi-VN"/>
              </w:rPr>
              <w:t>Default Values</w:t>
            </w:r>
          </w:p>
        </w:tc>
        <w:tc>
          <w:tcPr>
            <w:tcW w:w="3362" w:type="dxa"/>
            <w:tcBorders/>
          </w:tcPr>
          <w:p w14:paraId="6F038EFB">
            <w:pPr>
              <w:spacing w:line="240" w:lineRule="auto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vi-VN"/>
              </w:rPr>
              <w:t>Can specify default values in method parameters (e.g., void MyMethod(int x = 10))</w:t>
            </w:r>
          </w:p>
        </w:tc>
        <w:tc>
          <w:tcPr>
            <w:tcW w:w="3362" w:type="dxa"/>
            <w:tcBorders>
              <w:right w:val="single" w:color="auto" w:sz="4" w:space="0"/>
            </w:tcBorders>
          </w:tcPr>
          <w:p w14:paraId="78BBE6A5">
            <w:pPr>
              <w:spacing w:line="240" w:lineRule="auto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vi-VN"/>
              </w:rPr>
              <w:t>Does not support default parameter values; method overloading is used instead.</w:t>
            </w:r>
          </w:p>
        </w:tc>
      </w:tr>
      <w:tr w14:paraId="1B00B9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98" w:type="dxa"/>
            <w:tcBorders>
              <w:left w:val="single" w:color="auto" w:sz="4" w:space="0"/>
              <w:bottom w:val="single" w:color="auto" w:sz="4" w:space="0"/>
            </w:tcBorders>
          </w:tcPr>
          <w:p w14:paraId="47A4757F">
            <w:pPr>
              <w:spacing w:line="240" w:lineRule="auto"/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vi-VN"/>
              </w:rPr>
              <w:t>Access Modifiers</w:t>
            </w:r>
          </w:p>
        </w:tc>
        <w:tc>
          <w:tcPr>
            <w:tcW w:w="3362" w:type="dxa"/>
            <w:tcBorders>
              <w:bottom w:val="single" w:color="auto" w:sz="4" w:space="0"/>
            </w:tcBorders>
          </w:tcPr>
          <w:p w14:paraId="2AA6688F">
            <w:pPr>
              <w:spacing w:line="240" w:lineRule="auto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vi-VN"/>
              </w:rPr>
              <w:t>public, private, protected, internal, protected internal</w:t>
            </w:r>
          </w:p>
        </w:tc>
        <w:tc>
          <w:tcPr>
            <w:tcW w:w="3362" w:type="dxa"/>
            <w:tcBorders>
              <w:bottom w:val="single" w:color="auto" w:sz="4" w:space="0"/>
              <w:right w:val="single" w:color="auto" w:sz="4" w:space="0"/>
            </w:tcBorders>
          </w:tcPr>
          <w:p w14:paraId="1C60F852">
            <w:pPr>
              <w:spacing w:line="240" w:lineRule="auto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vi-VN"/>
              </w:rPr>
              <w:t>public, private, protected, package-private (default)</w:t>
            </w:r>
            <w:bookmarkStart w:id="0" w:name="_GoBack"/>
            <w:bookmarkEnd w:id="0"/>
          </w:p>
        </w:tc>
      </w:tr>
    </w:tbl>
    <w:p w14:paraId="7178B983">
      <w:pPr>
        <w:jc w:val="left"/>
        <w:rPr>
          <w:rFonts w:hint="default"/>
          <w:b/>
          <w:bCs/>
          <w:sz w:val="52"/>
          <w:szCs w:val="52"/>
          <w:lang w:val="vi-V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464CEF"/>
    <w:rsid w:val="2C464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character" w:styleId="5">
    <w:name w:val="Strong"/>
    <w:basedOn w:val="2"/>
    <w:qFormat/>
    <w:uiPriority w:val="0"/>
    <w:rPr>
      <w:b/>
      <w:bCs/>
    </w:rPr>
  </w:style>
  <w:style w:type="table" w:styleId="6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16</TotalTime>
  <ScaleCrop>false</ScaleCrop>
  <LinksUpToDate>false</LinksUpToDate>
  <CharactersWithSpaces>0</CharactersWithSpaces>
  <Application>WPS Office_12.2.0.18639_F1E327BC-269C-435d-A152-05C5408002CA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2025-01-02T09:45:00Z</dcterms:created>
  <dc:creator>Asus</dc:creator>
  <cp:lastModifiedBy>Asus</cp:lastModifiedBy>
  <dcterms:modified xsi:type="dcterms:W3CDTF">2025-01-02T10:02:38Z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2057-12.2.0.18639</vt:lpwstr>
  </property>
  <property fmtid="{D5CDD505-2E9C-101B-9397-08002B2CF9AE}" pid="3" name="ICV">
    <vt:lpwstr>A8216B758A8D470EAADB3B8A54F154A8_11</vt:lpwstr>
  </property>
</Properties>
</file>