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  <w:jc w:val="center"/>
      </w:pPr>
      <w:r>
        <w:rPr>
          <w:rFonts w:ascii="Arial" w:cs="Arial" w:eastAsia="Arial" w:hAnsi="Arial"/>
          <w:b/>
          <w:bCs/>
          <w:color w:val="1E40AF"/>
          <w:sz w:val="44"/>
          <w:szCs w:val="44"/>
        </w:rPr>
        <w:t xml:space="preserve">Pricing Worksheet (Standard)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Legend — Formula Reference</w:t>
      </w:r>
    </w:p>
    <w:p>
      <w:pPr>
        <w:spacing w:after="1000"/>
        <w:jc w:val="center"/>
      </w:pPr>
      <w:r>
        <w:rPr>
          <w:rFonts w:ascii="Arial" w:cs="Arial" w:eastAsia="Arial" w:hAnsi="Arial"/>
          <w:i/>
          <w:iCs/>
          <w:color w:val="6B7280"/>
          <w:sz w:val="24"/>
          <w:szCs w:val="24"/>
        </w:rPr>
        <w:t xml:space="preserve">Bảng tính giá (Tiêu chuẩn) — Tham chiếu công thức</w:t>
      </w:r>
    </w:p>
    <w:p>
      <w:pPr>
        <w:spacing w:after="40"/>
        <w:jc w:val="center"/>
      </w:pPr>
      <w:r>
        <w:rPr>
          <w:rFonts w:ascii="Consolas" w:cs="Consolas" w:eastAsia="Consolas" w:hAnsi="Consolas"/>
          <w:sz w:val="20"/>
          <w:szCs w:val="20"/>
        </w:rPr>
        <w:t xml:space="preserve">Source of truth: services/calcEngine.js</w:t>
      </w:r>
    </w:p>
    <w:p>
      <w:pPr>
        <w:spacing w:after="80"/>
        <w:jc w:val="center"/>
      </w:pPr>
      <w:r>
        <w:rPr>
          <w:rFonts w:ascii="Arial" w:cs="Arial" w:eastAsia="Arial" w:hAnsi="Arial"/>
          <w:sz w:val="22"/>
          <w:szCs w:val="22"/>
        </w:rPr>
        <w:t xml:space="preserve">Audit date: 2026-04-29 · 14 corrections applied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CCL Design Vietnam — Ops Control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00. Formula Reference — Verified against calcEngine.js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Verified against the live pricing engine. Source of truth — updated every release.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Đã xác thực với engine định giá live. Nguồn gốc chính thức — cập nhật mỗi lần release.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✅ Audit provenance · Xuất xứ kiểm chứng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Every formula in this Legend has been cross-checked against the live engine at
client/src/services/calcEngine.js on 2026-04-29.
Where the legacy training xlsx (v3.3) had drifted from code, the engine wins;
corrected items are tagged "⚠ Corrected". Engine public functions: calcPitch,
calcLayoutPerSheet, calcQPA_LM, calcMat, calcInk, calcProcess, calcPacking,
calcShipping, calcAll, computeSga.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14 corrections applied vs. xlsx v3.3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Major drift points: VA% / CONTR% / GM% use S.Total (supplier basis) — NOT
G.Total as the xlsx states (Sprint 21 Finance alignment). Offcut uses
(Cavities MOD Width) / Cavities — NOT the log-width formula. Overhead / Labor
returned from calcAll are Run-only; Setup components are split out separately.
SGA module (Sprint 9D) is absent from the xlsx — documented here for the first time.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Key formulas at a glance · Công thức chính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5000"/>
        <w:gridCol w:w="2126"/>
      </w:tblGrid>
      <w:tr>
        <w:trPr>
          <w:tblHeader/>
        </w:trP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 (as implemented)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Audit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(Gross Margin)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s_ttl (supplier), not g_ttl. Sprint 21.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supplier mat, not gross.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 (Contribution)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Corrected — RUN labor only; setup → GM bucket.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primary basis for GM.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tooling + proc_extra + packing_ship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purchase-price basis.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UPH (m/min)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speed × eff × 60 × 1000 / max(1, pitch) × layout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Verified — pitch floored at 1.</w:t>
            </w:r>
          </w:p>
        </w:tc>
      </w:tr>
      <w:tr>
        <w:tc>
          <w:tcPr>
            <w:tcW w:type="dxa" w:w="19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SGA (Sprint 9D)</w:t>
            </w:r>
          </w:p>
        </w:tc>
        <w:tc>
          <w:tcPr>
            <w:tcW w:type="dxa" w:w="5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g_ttl × sga_rate_pct_by_site / 100</w:t>
            </w:r>
          </w:p>
        </w:tc>
        <w:tc>
          <w:tcPr>
            <w:tcW w:type="dxa" w:w="2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absent from xlsx. Per-site, default 0%.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02. Header Tab — Basic Information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Quote identity, MOQ, Trade Mode, Site, Selling Price.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Input fields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00"/>
        <w:gridCol w:w="1600"/>
        <w:gridCol w:w="38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Req?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Example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CCL Part Number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T3000001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Internal CCL product code. Format: T + 7 digits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Quote ID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MOQ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Order Quantity — MUST be &gt; 0!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cost, Tooling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Annual Qty (EAU)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Estimated Annual Usage. Used for tooling EAU cap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amortization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Product Lifetime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Years. EAU_total = Annual × Lifetime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 lifetime cap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Trade Mode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USD(Normal): no VAT · USD(Book): +15% · VND/RMB: local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Site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VN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VN / 41 RDC / 41 Flexo / 55 / 49 / 54 / India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DDL lookups, Rates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0.099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selling price (USD). SP=0 → VA% / GM% = N/A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VA%, CONTR%, GM%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 CONTR%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25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Contribution % for reverse Target SP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Target Price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Delivery Term</w:t>
            </w:r>
          </w:p>
        </w:tc>
        <w:tc>
          <w:tcPr>
            <w:tcW w:type="dxa" w:w="7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⬜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DAP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DAP / FOB / EXW / CIF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Quotation doc</w:t>
            </w:r>
          </w:p>
        </w:tc>
      </w:tr>
    </w:tbl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— MOQ field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MOQ = 0 is the most serious input error in the system. Setup Cost ÷ MOQ then
falls back to annual_qty (or 1) → all setup allocated to ONE unit → G.TOTAL
inflated ×MOQ → VA% / GM% = −435,000%. ALWAYS enter MOQ &gt; 0 before calculating.
⚠ Corrected vs. xlsx: the actual fallback is annual_qty → 1 (not just → 1).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03. Layout Tab — Dimensions &amp; Pitch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Input parameters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800"/>
        <w:gridCol w:w="3500"/>
        <w:gridCol w:w="11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Variable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Ex.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Affects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Width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part_width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82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Width in the TD direction (across web)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QPA(m²)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 Length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sheet_length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Length in MD direction — used to calculate Pitch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Pitch, QPA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Min Gap MD (mm)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min_gap_md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Minimum gap between parts along MD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Number of Webs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num_webs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Parallel web lanes. = 2 for duplex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QPA_LM, UPH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in MD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parts_in_md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rows in MD direction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Parts across TD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parts_web_across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Part columns across the web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Layout/Sheet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 Cols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rotary_cols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= 0: sheet mode · &gt; 0: rotary pitch formula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Pitch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Pcs per Roll</w:t>
            </w:r>
          </w:p>
        </w:tc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pcs_per_roll</w:t>
            </w:r>
          </w:p>
        </w:tc>
        <w:tc>
          <w:tcPr>
            <w:tcW w:type="dxa" w:w="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50,000</w:t>
            </w:r>
          </w:p>
        </w:tc>
        <w:tc>
          <w:tcPr>
            <w:tcW w:type="dxa" w:w="35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Pieces per roll — Meter/Roll display only</w:t>
            </w:r>
          </w:p>
        </w:tc>
        <w:tc>
          <w:tcPr>
            <w:tcW w:type="dxa" w:w="11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Display only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Auto-calculated formulas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(Sheet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 = sheet_length + min_gap_md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Used when rotary_cols =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52 + 2 = 54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Pitch (Rotary mode)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Z = ⌈(Length + Gap) × cols / 3.175⌉
P = Z × 3.175 / cols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3.175 mm = 1 tooth pitch constant on rotary dies.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Z = 17 → P = 17 × 3.175 / 1 = 54.175 mm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Layout per Sheet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 = parts_in_md × parts_web_across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Parts per stroke/sheet.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× 4 = 4 cav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(m²)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 = Pitch × Width / 1,000,000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× 82 / 1e6 / 1 / 1 × 1 = 0.004428 m²/pcs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QPA (LM)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 = Pitch / 1000 / Cavities / Webs × Usage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54 / 1000 / 4 / 1 × 1 = 0.0135 LM/pcs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Scrap Factor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 = 1 − ∏(1 − scrap_pct_i)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Combined yield loss across all processes.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1 − (0.97 × 0.98) = 4.94%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04. Materials Tab — Cost Formulas</w:t>
      </w:r>
    </w:p>
    <w:p>
      <w:pPr>
        <w:spacing w:after="60" w:before="60"/>
      </w:pPr>
      <w:r>
        <w:rPr>
          <w:rFonts w:ascii="Arial" w:cs="Arial" w:eastAsia="Arial" w:hAnsi="Arial"/>
          <w:i/>
          <w:iCs/>
          <w:color w:val="6B7280"/>
          <w:sz w:val="22"/>
          <w:szCs w:val="22"/>
        </w:rPr>
        <w:t xml:space="preserve">Setup + Run, Offcut %, Scrap factor, VAT Loss — calcMat()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Corrected — Offcut priority order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documented a single (log_width MOD mat_width) formula. The live
engine actually runs a 3-tier priority: user-entered offcut_pct override wins,
then Cavities-based derivation, then log_width fallback.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Offcut % — 3-tier resolver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Priority 1 (user override):
  if offcut_pct provided → min(raw &gt; 1 ? raw/100 : raw, 0.999)
Priority 2 (Cavities-based, default):
  width    = mat.width   || st.web_width_td
  cavities = mat.cavities || calcLayoutPerSheet(st)
  OC = min(cavities % width / cavities, 0.999)
Priority 3 (legacy log_width fallback):
  OC = min(log_width % width / log_width, 0.999)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enforced by calcOffcut(). Capped at 0.999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Slitting surcharge (slit_adj)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Y → $0.50/LM · blank → $0.10/LM (default) · N → $0.00/LM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flat per-LM adder on top of material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Setup_S = MOQ &gt; 0 ? (sp + slit_adj) × setup_lm × usage × (width/1000) / (1 − OC) / MOQ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guard returns 0.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setup_lm=50, usage=1, width=82, OC=0.05, MOQ=250k
= 2.50 × 50 × 1 × 0.082 / 0.95 / 250,000 = $0.0000432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(S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Run_S = (sp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safeYield floors denom at 0.001. qpa_lm_raw is UN-rounded.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sp=2.50, width=82, qpa_lm_raw=0.0135, scrap=0.03, OC=0.05
= 2.50 × 0.082 × 0.0135 / 0.97 / 0.95 × 1 = $0.00300 / 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Cost/unit (G price)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Run_G = (gp + slit_adj) × (width/1000) × qpa_lm_raw / safeYield(scrap) / safeYield(OC) × usage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identical shape, uses purchase price.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VAT Loss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VAT = (trade_mode === 'USD(Book)') ? (setup_s + run_s)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applied only when trade_mode literal = "USD(Book)".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SS / Flexo / LP (non-Indigo)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qpa_lm_ink = pitch/1000 / layout_per_sheet / (num_webs || 1)
width_m    = base_mat.width/1000  OR  parse trailing digits from base_mat code
Ink_Run    = price × qpa_lm_ink × area_pct × width_m / coverage / safeYield(scrap)
             (returns 0 if coverage = 0 OR width_m = 0)
Ink_Setup  = price × (setup_kg + coverage&gt;0
                      ? area_pct × width_m × base_usage / coverage : 0)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coverage from lib.ddl.coverage, keyed by ink.print_type.</w:t>
      </w:r>
    </w:p>
    <w:p>
      <w:pPr>
        <w:shd w:fill="F0FDF4" w:val="clear"/>
        <w:spacing w:after="20" w:before="40"/>
      </w:pPr>
      <w:r>
        <w:rPr>
          <w:rFonts w:ascii="Arial" w:cs="Arial" w:eastAsia="Arial" w:hAnsi="Arial"/>
          <w:b/>
          <w:bCs/>
          <w:color w:val="14532D"/>
          <w:sz w:val="20"/>
          <w:szCs w:val="20"/>
        </w:rPr>
        <w:t xml:space="preserve">Ví dụ · Example: </w:t>
      </w:r>
    </w:p>
    <w:p>
      <w:pPr>
        <w:shd w:fill="F0FDF4" w:val="clear"/>
        <w:spacing w:after="60" w:before="0"/>
        <w:ind w:left="240"/>
      </w:pPr>
      <w:r>
        <w:rPr>
          <w:rFonts w:ascii="Consolas" w:cs="Consolas" w:eastAsia="Consolas" w:hAnsi="Consolas"/>
          <w:color w:val="14532D"/>
          <w:sz w:val="19"/>
          <w:szCs w:val="19"/>
        </w:rPr>
        <w:t xml:space="preserve">price=$30, qpa_lm=0.0135, area=0.10, width=0.082m, cov=30, scrap=0.03
Run = 30 × 0.0135 × 0.10 × 0.082 / 30 / 0.97 = $0.0000114 /pcs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Ink Run Cost — Indigo (click-based)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L_ind     = ⌊980 / pitch⌋ × layout_per_sheet × num_webs
cc        = LOOKUP(clicks, lib.ddl.click_charges)   [largest key ≤ clicks]
Ink_Run   = L_ind &gt; 0 ? cc × clicks / L_ind / safeYield(scrap) : 0
Ink_Setup = cc × clicks × ⌈base_usage / 0.98⌉ / MOQ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980 mm = Indigo sheet width. clicks = ink channels used.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Totals (s_mat_cost / g_mat_cost)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s_mat_cost = Σ(setup_s + run_s) [materials] + Σ(setup_s + run_s) [inks]
g_mat_cost = Σ(setup_g + run_g) [materials] + Σ(setup_s + run_s) [inks]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inks only have S price, contribute identically to both totals.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05. Processes Tab — Machine · Labor · Tooling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UPH formulas — 5 speed UOMs</w:t>
      </w:r>
    </w:p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How the engine resolves speed_uom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speed_uom comes from the Rate Table row. The engine normalizes by stripping
whitespace + lowercasing, so "m/min", "M/MIN", "m / min" all work. An
unrecognized UOM yields uph=0 → zero machine + labor cost (not an error).
Pitch is floored at 1 via max(1, pitch) to avoid div-by-zero.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pitch in mm, ×1000 converts m→mm.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(Mtr/Hr)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1000 / max(1, pitch)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matches "mtr/hr" OR "m/hr".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(Stamp/min)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60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1 stroke = Layout cavities.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(Pcs/hr)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direct pcs/hr, no Layout multiplier.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UPH (Sheets/hr)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uph = speed × eff × layout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accepts "sheets/hr" and "sheet/hr".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Cost formulas (verified from calcProcess())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setup_mach = MOQ &gt; 0 ? setup_h × mach_rate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MOQ=0 returns 0 (safe). Default repeat=1.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Setup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setup_labor = MOQ &gt; 0 ? setup_h × labor_rate × crew / MOQ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crew from rate table.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Machine/unit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scrapFactor = 1 − calcMatScrapFactor(st)
run_mach    = uph &gt; 0 ? mach_rate / uph / max(0.001, scrapFactor) × repeat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floor 0.001 prevents scrap=99.9% blow-up.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Run Labor/unit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run_labor = ((uph &gt; 0 ? labor_rate × crew / uph / max(0.001, SF) : 0)
            + (manual_uph &gt; 0 ? manual_rate / manual_uph / max(0.001, SF) : 0)
           ) × repeat
  where manual_rate = rate of 'Manual' workcenter || $2.54/h fallback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manual_uph=0 skips the manual addition.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EAU (lifetime qty for tooling cap)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eau = (eau_ovr &gt; 0) ? eau_ovr
      : (annual_qty || moq) × (product_lifetime || 1)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falls back to MOQ when annual_qty is absent (not to 1 as xlsx said).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Standard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tlife = tool_life_ovr ? tool_life : (DDL.tool_life[tool_type] || 1)
totalToolPcs = tlife × layout
tool = totalToolPcs &gt; eau
  ? tool_cost / eau              ← EAU cap applies
  : tool_cost / totalToolPcs     ← normal amortization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if tool_type missing from DDL, tlife → 1 (sentinel).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Tooling/unit — Jig (normalized match)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ttNorm = tool_type.toLowerCase().replace(/[\s&amp;]/g, '')
isJig  = ttNorm === 'jig' || ttNorm === 'jigfixture'
if (isJig):
  tool = (tlife &gt; eau) ? tool_cost / eau : tool_cost / tlife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Corrected — xlsx omitted DDL key normalization. "Jig &amp; Fixture", "jig", "JIG" all work identically.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Extra cost per 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extra     = (extra_cost &gt; 0) ? extra_cost / max(0.001, SF) : 0
extra_vat = (trade_mode === 'USD(Book)') ? extra × 0.15 : 0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⚠ Added — xlsx omitted this; scrap-adjusted.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06. Packing, Shipping &amp; Summary KPIs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A. Packing cost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Container/unit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Container_cost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Box/unit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Box_cost / bags_per_box / pcs_per_bag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Other Packing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other_packing  (USD/unit — entered directly)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Shipping/unit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(shipping_cost + other_ship) / ship_qty</w:t>
      </w:r>
    </w:p>
    <w:p>
      <w:pPr>
        <w:spacing w:after="20" w:before="20"/>
      </w:pP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✅ Verified — ship_qty = st.ship_qty || st.moq || 1.</w:t>
      </w:r>
    </w:p>
    <w:p>
      <w:pPr>
        <w:spacing w:after="20" w:before="120"/>
      </w:pPr>
      <w:r>
        <w:rPr>
          <w:rFonts w:ascii="Arial" w:cs="Arial" w:eastAsia="Arial" w:hAnsi="Arial"/>
          <w:b/>
          <w:bCs/>
          <w:color w:val="1E3A8A"/>
          <w:sz w:val="22"/>
          <w:szCs w:val="22"/>
        </w:rPr>
        <w:t xml:space="preserve">Total Pack &amp; Ship</w:t>
      </w:r>
    </w:p>
    <w:p>
      <w:pPr>
        <w:shd w:fill="111827" w:val="clear"/>
        <w:spacing w:after="40" w:before="40"/>
        <w:ind w:left="240"/>
      </w:pPr>
      <w:r>
        <w:rPr>
          <w:rFonts w:ascii="Consolas" w:cs="Consolas" w:eastAsia="Consolas" w:hAnsi="Consolas"/>
          <w:color w:val="D1FAE5"/>
          <w:sz w:val="20"/>
          <w:szCs w:val="20"/>
        </w:rPr>
        <w:t xml:space="preserve">= Container/unit + Box/unit + Other + Shipping/unit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B. Summary KPIs (verified from calcAll())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Sprint 21 Finance alignment — xlsx is stale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Prior to Sprint 21, VA% / CONTR% / GM% used g_mat_cost + g_ttl — but those
didn't reconcile with the Cost Breakdown UI which shows supplier-price columns.
Finance demanded alignment: the live engine now computes all three from s_*
(supplier) totals. The xlsx v3.3 still documents the old G-basis formulas.
Legacy quotes re-analyzed after Sprint 21 may show slightly different KPIs —
this is the Finance-signed-off correction.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800"/>
        <w:gridCol w:w="1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formula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Target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Meaning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 ★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Primary basis for GM%, VA%, CONTR%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G.TOTAL COST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g_mat_cost + overhead + labor_cost + vat_loss + proc_extra_vat + tooling + proc_extra + packing_ship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Purchase-price basis; feeds SGA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 (Value Add)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30%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s_mat (not g_mat); excludes overhead + labor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(s_mat_cost + tooling + packing_ship + run_labor_only)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25%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run_labor_only = labor_cost − setup_labor_total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&gt; 15%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Uses s_ttl, not g_ttl!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 after SGA</w:t>
            </w:r>
          </w:p>
        </w:tc>
        <w:tc>
          <w:tcPr>
            <w:tcW w:type="dxa" w:w="4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(s_ttl + sga) / sp_price</w:t>
            </w:r>
          </w:p>
        </w:tc>
        <w:tc>
          <w:tcPr>
            <w:tcW w:type="dxa" w:w="1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N/A</w:t>
            </w:r>
          </w:p>
        </w:tc>
        <w:tc>
          <w:tcPr>
            <w:tcW w:type="dxa" w:w="1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 Added — Sprint 9D.3. Per-site rate.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C. Returned Overhead / Labor fields</w:t>
      </w:r>
    </w:p>
    <w:p>
      <w:pPr>
        <w:pBdr>
          <w:left w:val="single" w:color="DC2626" w:sz="24" w:space="1"/>
        </w:pBdr>
        <w:shd w:fill="FEE2E2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⚠ Critical interpretation difference vs. xlsx</w:t>
      </w:r>
    </w:p>
    <w:p>
      <w:pPr>
        <w:pBdr>
          <w:left w:val="single" w:color="DC2626" w:sz="24" w:space="1"/>
        </w:pBdr>
        <w:shd w:fill="FEE2E2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The xlsx said Overhead = Σ(Run_Machine + Setup_Machine). The engine's
calcAll() return object has:
• overhead: overhead − setup_mach_total   → Run machine ONLY
• labor_cost: labor_cost − setup_labor_total → Run labor ONLY
• bd_setup_mach: setup_mach_total  — setup shown separately
• bd_setup_labor: setup_labor_total — setup shown separately
When Cost Breakdown tab shows "Overhead", that's the RUN portion. Setup is in
its own row. S.TOTAL still adds BOTH (via the sum expression above), so GM% is
unchanged — this is just a reporting granularity fix.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07. Reference Tables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1. Tool life table (DDL database)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3800"/>
        <w:gridCol w:w="18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Tool Type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Life (shots)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Ref. Cost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Knife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Manual cutting blade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Etching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Chemical etching plate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Carving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Carved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Metal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500,000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High-durability metal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Rotary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die-cut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$800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Stencil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printing stencil / mesh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$30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Pressplate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Printing plate (Indigo/Flexo/SS)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$196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Jig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Jig &amp; fixture (holding tool)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$2,000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CNC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CNC router bit / milling cutter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$50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Pinnacle Die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60,000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Precision Pinnacle die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$1,200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RDC</w:t>
            </w:r>
          </w:p>
        </w:tc>
        <w:tc>
          <w:tcPr>
            <w:tcW w:type="dxa" w:w="16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200,000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Rotary Die Cutting tool</w:t>
            </w:r>
          </w:p>
        </w:tc>
        <w:tc>
          <w:tcPr>
            <w:tcW w:type="dxa" w:w="18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$1,529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2. Click charges (Indigo)</w:t>
      </w:r>
    </w:p>
    <w:p>
      <w:pPr>
        <w:pBdr>
          <w:left w:val="single" w:color="22C55E" w:sz="24" w:space="1"/>
        </w:pBdr>
        <w:shd w:fill="F0FDF4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📌 Indigo formula</w:t>
      </w:r>
    </w:p>
    <w:p>
      <w:pPr>
        <w:pBdr>
          <w:left w:val="single" w:color="22C55E" w:sz="24" w:space="1"/>
        </w:pBdr>
        <w:shd w:fill="F0FDF4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Run = click_charge × clicks / Layout_Indigo / (1 − Scrap%)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000"/>
        <w:gridCol w:w="3200"/>
        <w:gridCol w:w="2426"/>
      </w:tblGrid>
      <w:tr>
        <w:trPr>
          <w:tblHeader/>
        </w:trP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Clicks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Charge (USD)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Job Type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$0.030036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Single color (monochrome)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Very expensive — rarely used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2-click job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LOOKUP: largest key ≤ clicks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$0.0074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4-color (standard)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Most common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CMYK + 2 spot colors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colors bump tier</w:t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 clicks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$0.0084</w:t>
            </w:r>
          </w:p>
        </w:tc>
        <w:tc>
          <w:tcPr>
            <w:tcW w:type="dxa" w:w="3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 clicks (max)</w:t>
            </w:r>
          </w:p>
        </w:tc>
        <w:tc>
          <w:tcPr>
            <w:tcW w:type="dxa" w:w="24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Above 14: still $0.0084</w:t>
            </w:r>
          </w:p>
        </w:tc>
      </w:tr>
    </w:tbl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3. Ink coverage (m²/kg by print type)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400"/>
        <w:gridCol w:w="3800"/>
        <w:gridCol w:w="2026"/>
      </w:tblGrid>
      <w:tr>
        <w:trPr>
          <w:tblHeader/>
        </w:trP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Print Type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Coverage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Formula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(Screen)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 m²/kg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Heavy ink — highest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SS (Glue)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Screen adhesive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Flexo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Flexographic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LP (LetterPress)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300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300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Letterpress ink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N/A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Uses click-charge formula (table 2)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Click-based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Primer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Primer coat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Spot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176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176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Spot color — higher consumption</w:t>
            </w:r>
          </w:p>
        </w:tc>
      </w:tr>
      <w:tr>
        <w:tc>
          <w:tcPr>
            <w:tcW w:type="dxa" w:w="1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Indigo Oil</w:t>
            </w:r>
          </w:p>
        </w:tc>
        <w:tc>
          <w:tcPr>
            <w:tcW w:type="dxa" w:w="14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400</w:t>
            </w:r>
          </w:p>
        </w:tc>
        <w:tc>
          <w:tcPr>
            <w:tcW w:type="dxa" w:w="3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price × QPA × area% × w_m / 400 / (1−S)</w:t>
            </w:r>
          </w:p>
        </w:tc>
        <w:tc>
          <w:tcPr>
            <w:tcW w:type="dxa" w:w="2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Oil-based Indigo</w:t>
            </w:r>
          </w:p>
        </w:tc>
      </w:tr>
    </w:tbl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09. Worked Example — 82×52 mm Adhesive Label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MOQ 250,000 · EAU 3,000,000/yr · Site VN · Trade Mode USD(Normal)</w:t>
      </w: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11827"/>
          <w:sz w:val="26"/>
          <w:szCs w:val="26"/>
        </w:rPr>
        <w:t xml:space="preserve">Final cost breakdown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026"/>
      </w:tblGrid>
      <w:tr>
        <w:trPr>
          <w:tblHeader/>
        </w:trP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USD/unit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Engine field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Material cost (supplier)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$0.002670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s_mat_cost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Overhead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$0.000893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overhead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Labor Cost (run only)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$0.003145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labor_cost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machine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bd_setup_mach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Setup labor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(split out)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bd_setup_labor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VAT Loss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$0.000000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USD(Normal) → 0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Tooling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$0.002156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tooling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Pack &amp; Ship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$0.003782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packing_ship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S.TOTAL COST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$0.012646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s_ttl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Selling Price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$0.099000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shd w:fill="E0E7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GM%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87.2%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s_ttl / sp_price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VA%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91.2%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pack) / sp</w:t>
            </w:r>
          </w:p>
        </w:tc>
      </w:tr>
      <w:tr>
        <w:tc>
          <w:tcPr>
            <w:tcW w:type="dxa" w:w="28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CONTR%</w:t>
            </w:r>
          </w:p>
        </w:tc>
        <w:tc>
          <w:tcPr>
            <w:tcW w:type="dxa" w:w="2200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sz w:val="20"/>
                <w:szCs w:val="20"/>
              </w:rPr>
              <w:t xml:space="preserve">≈ 88.0%</w:t>
            </w:r>
          </w:p>
        </w:tc>
        <w:tc>
          <w:tcPr>
            <w:tcW w:type="dxa" w:w="4026"/>
            <w:tcBorders>
              <w:top w:val="single" w:color="D1D5DB" w:sz="6"/>
              <w:left w:val="single" w:color="D1D5DB" w:sz="6"/>
              <w:bottom w:val="single" w:color="D1D5DB" w:sz="6"/>
              <w:right w:val="single" w:color="D1D5DB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1 − (s_mat + tool + pack + run_labor) / sp</w:t>
            </w:r>
          </w:p>
        </w:tc>
      </w:tr>
    </w:tbl>
    <w:p>
      <w:pPr>
        <w:pBdr>
          <w:left w:val="single" w:color="EAB308" w:sz="24" w:space="1"/>
        </w:pBdr>
        <w:shd w:fill="FEF9C3" w:val="clear"/>
        <w:spacing w:after="2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ℹ Note on this example</w:t>
      </w:r>
    </w:p>
    <w:p>
      <w:pPr>
        <w:pBdr>
          <w:left w:val="single" w:color="EAB308" w:sz="24" w:space="1"/>
        </w:pBdr>
        <w:shd w:fill="FEF9C3" w:val="clear"/>
        <w:spacing w:after="80" w:before="0"/>
      </w:pPr>
      <w:r>
        <w:rPr>
          <w:rFonts w:ascii="Arial" w:cs="Arial" w:eastAsia="Arial" w:hAnsi="Arial"/>
          <w:sz w:val="21"/>
          <w:szCs w:val="21"/>
        </w:rPr>
        <w:t xml:space="preserve">Preserved from xlsx v3.3. Uses g-price figures from the old manual. Since
s = g is assumed for simple quotes, GM%/VA%/CONTR% still match. On real quotes
where s ≠ g, expect small differences from the old manual.</w:t>
      </w:r>
    </w:p>
    <w:p>
      <w:r>
        <w:br w:type="page"/>
      </w: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E40AF"/>
          <w:sz w:val="32"/>
          <w:szCs w:val="32"/>
        </w:rPr>
        <w:t xml:space="preserve">10. Troubleshooting Guide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 — VA% / GM% = −435,000% (extremely large negative)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= 1 (instead of 200,000). Root: DDL data format corrupted — tool_life stored as array [{}] instead of dict {}.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Check ddl_sites.json. tool_life must be {"Pressplate":200000,…} NOT [{…}]. Fix: run repair_ddl_data.py then restart server.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Monitor ddl_sites_data.js after every DDL Excel update.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#2 — G.TOTAL ×250,000 too high (MOQ not entered)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MOQ=0 → Setup Cost ÷ annual_qty or 1 → entire setup allocated to 1 unit.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ALWAYS enter MOQ &gt; 0 before Calculate. System guard exists but manual entry required.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MOQ = 250,000. Never reset to 0 in templates.</w:t>
      </w:r>
    </w:p>
    <w:p>
      <w:pPr>
        <w:shd w:fill="FEE2E2" w:val="clear"/>
        <w:spacing w:after="40" w:before="120"/>
      </w:pPr>
      <w:r>
        <w:rPr>
          <w:rFonts w:ascii="Arial" w:cs="Arial" w:eastAsia="Arial" w:hAnsi="Arial"/>
          <w:b/>
          <w:bCs/>
          <w:color w:val="DC2626"/>
          <w:sz w:val="22"/>
          <w:szCs w:val="22"/>
        </w:rPr>
        <w:t xml:space="preserve">[CRITICAL]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#3 — Tooling cost unreasonably high (&gt; 5% of total)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Tool Life fallback = 1 — tool_type not selected, or DDL corrupted.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correct tool_type from dropdown. Verify Tool Life display ≥ 20,000.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Always select tool_type. Verify displayed tool life &gt; 1,000.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#4 — Material cost = $0 (even after selecting material)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Width = 0 or Price = 0. Pitch = 0 (sheet_length missing). QPA_LM = 0.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Width &gt; 0, sheet_length + min_gap &gt; 0 → Pitch &gt; 0, S + G price &gt; 0.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QPA and Pitch display after selecting material code.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#5 — UPH = 0 → Machine / Labor cost = $0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Speed = 0, Efficiency = 0, or Speed UOM mismatch.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Speed &gt; 0. Default efficiency 0.85. Verify UOM in rate table.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UPH display after entering speed.</w:t>
      </w:r>
    </w:p>
    <w:p>
      <w:pPr>
        <w:shd w:fill="FEF3C7" w:val="clear"/>
        <w:spacing w:after="40" w:before="120"/>
      </w:pPr>
      <w:r>
        <w:rPr>
          <w:rFonts w:ascii="Arial" w:cs="Arial" w:eastAsia="Arial" w:hAnsi="Arial"/>
          <w:b/>
          <w:bCs/>
          <w:color w:val="EAB308"/>
          <w:sz w:val="22"/>
          <w:szCs w:val="22"/>
        </w:rPr>
        <w:t xml:space="preserve">[MEDIUM]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#6 — Unexpected VAT Loss appears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Trade Mode = USD(Book). Only for goods not reclaiming input VAT.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Change to USD(Normal) if product is exported or VAT is reclaimable.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Confirm Trade Mode with Finance before finalizing.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#7 — VA% / GM% / CONTR% = N/A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Selling Price = 0 or SP not entered.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Enter Selling Price &gt; 0 in Header tab.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Default SP = 0.20. Enter immediately when opening.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#8 — Ink cost = $0 (after entering ink color)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Print Type blank. Area% = 0. Coverage = 0 for non-Indigo.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Select Print Type. Enter Area% &gt; 0 (fraction of surface printed).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Area% &gt; 0 for all active ink rows.</w:t>
      </w:r>
    </w:p>
    <w:p>
      <w:pPr>
        <w:shd w:fill="DCFCE7" w:val="clear"/>
        <w:spacing w:after="40" w:before="120"/>
      </w:pPr>
      <w:r>
        <w:rPr>
          <w:rFonts w:ascii="Arial" w:cs="Arial" w:eastAsia="Arial" w:hAnsi="Arial"/>
          <w:b/>
          <w:bCs/>
          <w:color w:val="16A34A"/>
          <w:sz w:val="22"/>
          <w:szCs w:val="22"/>
        </w:rPr>
        <w:t xml:space="preserve">[MINOR]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#9 — Quote saved but not visible in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Server not running or quotes.json corrupted (offline mode).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Verify server port 8765. Check server.py logs. Validate quotes.json.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Check server status before saving quotes.</w:t>
      </w:r>
    </w:p>
    <w:p>
      <w:pPr>
        <w:shd w:fill="DBEAFE" w:val="clear"/>
        <w:spacing w:after="40" w:before="120"/>
      </w:pPr>
      <w:r>
        <w:rPr>
          <w:rFonts w:ascii="Arial" w:cs="Arial" w:eastAsia="Arial" w:hAnsi="Arial"/>
          <w:b/>
          <w:bCs/>
          <w:color w:val="3B82F6"/>
          <w:sz w:val="22"/>
          <w:szCs w:val="22"/>
        </w:rPr>
        <w:t xml:space="preserve">[INFO]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#10 — GM% different when reloading quote from History</w:t>
      </w:r>
    </w:p>
    <w:p>
      <w:pPr>
        <w:spacing w:after="10" w:before="2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Root cause: </w:t>
      </w:r>
      <w:r>
        <w:rPr>
          <w:rFonts w:ascii="Arial" w:cs="Arial" w:eastAsia="Arial" w:hAnsi="Arial"/>
          <w:sz w:val="20"/>
          <w:szCs w:val="20"/>
        </w:rPr>
        <w:t xml:space="preserve">DDL rates updated since save (machine rates, tool life).</w:t>
      </w:r>
    </w:p>
    <w:p>
      <w:pPr>
        <w:spacing w:after="1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Fix: </w:t>
      </w:r>
      <w:r>
        <w:rPr>
          <w:rFonts w:ascii="Arial" w:cs="Arial" w:eastAsia="Arial" w:hAnsi="Arial"/>
          <w:sz w:val="20"/>
          <w:szCs w:val="20"/>
        </w:rPr>
        <w:t xml:space="preserve">Expected — calculator always uses current DDL. Use 🔒 override to freeze if needed.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6B7280"/>
          <w:sz w:val="20"/>
          <w:szCs w:val="20"/>
        </w:rPr>
        <w:t xml:space="preserve">Prevention: </w:t>
      </w:r>
      <w:r>
        <w:rPr>
          <w:rFonts w:ascii="Arial" w:cs="Arial" w:eastAsia="Arial" w:hAnsi="Arial"/>
          <w:sz w:val="20"/>
          <w:szCs w:val="20"/>
        </w:rPr>
        <w:t xml:space="preserve">Note key rates/tool life in Description when saving.</w:t>
      </w:r>
    </w:p>
    <w:p>
      <w:pPr>
        <w:spacing w:after="20" w:before="4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— End of Formula Reference · Hết tài liệu tham chiếu —</w:t>
      </w:r>
    </w:p>
    <w:p>
      <w:pPr>
        <w:spacing w:after="20"/>
        <w:jc w:val="center"/>
      </w:pPr>
      <w:r>
        <w:rPr>
          <w:rFonts w:ascii="Consolas" w:cs="Consolas" w:eastAsia="Consolas" w:hAnsi="Consolas"/>
          <w:color w:val="6B7280"/>
          <w:sz w:val="18"/>
          <w:szCs w:val="18"/>
        </w:rPr>
        <w:t xml:space="preserve">Source of truth: client/src/services/calcEngine.js · Audit date: 2026-04-29 · 14 corrections applied</w:t>
      </w:r>
    </w:p>
    <w:p>
      <w:pPr>
        <w:spacing w:after="20"/>
        <w:jc w:val="center"/>
      </w:pPr>
      <w:r>
        <w:rPr>
          <w:rFonts w:ascii="Arial" w:cs="Arial" w:eastAsia="Arial" w:hAnsi="Arial"/>
          <w:i/>
          <w:iCs/>
          <w:color w:val="6B7280"/>
          <w:sz w:val="18"/>
          <w:szCs w:val="18"/>
        </w:rPr>
        <w:t xml:space="preserve">If you find any discrepancy between this Legend and actual engine behavior, the engine wins. File an issue and we will fix the Legend — not the engine.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B7280"/>
        <w:sz w:val="16"/>
        <w:szCs w:val="16"/>
      </w:rPr>
      <w:t xml:space="preserve">Ops Control · Pricing Worksheet Legend · CCL Design Vietnam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7280"/>
        <w:sz w:val="16"/>
        <w:szCs w:val="16"/>
      </w:rPr>
      <w:t xml:space="preserve"> / </w:t>
    </w:r>
    <w:r>
      <w:rPr>
        <w:rFonts w:ascii="Arial" w:cs="Arial" w:eastAsia="Arial" w:hAnsi="Arial"/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E40A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E40A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Pricing Worksheet (Standard) — Legend</dc:title>
  <dc:creator>CCL Design Vietnam · Ops Control</dc:creator>
  <dc:description>Formula reference for the Standard Pricing Worksheet. Verified against calcEngine.js.</dc:description>
  <cp:lastModifiedBy>Un-named</cp:lastModifiedBy>
  <cp:revision>1</cp:revision>
  <dcterms:created xsi:type="dcterms:W3CDTF">2026-04-29T16:15:23.867Z</dcterms:created>
  <dcterms:modified xsi:type="dcterms:W3CDTF">2026-04-29T16:15:23.867Z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