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Pricing Worksheet (Standard)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Legend — Formula Reference</w:t>
      </w:r>
    </w:p>
    <w:p>
      <w:pPr>
        <w:spacing w:after="10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Bảng tính giá (Tiêu chuẩn) — Tham chiếu công thức</w:t>
      </w:r>
    </w:p>
    <w:p>
      <w:pPr>
        <w:spacing w:after="4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Source of truth: services/calcEngine.js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Audit date: 2026-04-29 · 14 corrections applied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CCL Design Vietnam — Ops Control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00. Formula Reference — Verified against calcEngine.js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against the live pricing engine. Source of truth — updated every release.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Đã xác thực với engine định giá live. Nguồn gốc chính thức — cập nhật mỗi lần release.</w:t>
      </w:r>
    </w:p>
    <w:p>
      <w:pPr>
        <w:pBdr>
          <w:left w:val="single" w:color="22C55E" w:sz="24" w:space="1"/>
        </w:pBdr>
        <w:shd w:fill="F0FDF4" w:val="clear"/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Audit provenance · Xuất xứ kiểm chứng</w:t>
      </w:r>
    </w:p>
    <w:p>
      <w:pPr>
        <w:pBdr>
          <w:left w:val="single" w:color="22C55E" w:sz="24" w:space="1"/>
        </w:pBdr>
        <w:shd w:fill="F0FDF4" w:val="clear"/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Every formula in this Legend has been cross-checked against the live engine at
client/src/services/calcEngine.js on 2026-04-29.
Where the legacy training xlsx (v3.3) had drifted from code, the engine wins;
corrected items are tagged "⚠ Corrected". Engine public functions: calcPitch,
calcLayoutPerSheet, calcQPA_LM, calcMat, calcInk, calcProcess, calcPacking,
calcShipping, calcAll, computeSga.</w:t>
      </w:r>
    </w:p>
    <w:p>
      <w:pPr>
        <w:pBdr>
          <w:left w:val="single" w:color="DC2626" w:sz="24" w:space="1"/>
        </w:pBdr>
        <w:shd w:fill="FEE2E2" w:val="clear"/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14 corrections applied vs. xlsx v3.3</w:t>
      </w:r>
    </w:p>
    <w:p>
      <w:pPr>
        <w:pBdr>
          <w:left w:val="single" w:color="DC2626" w:sz="24" w:space="1"/>
        </w:pBdr>
        <w:shd w:fill="FEE2E2" w:val="clear"/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Major drift points: VA% / CONTR% / GM% use S.Total (supplier basis) — NOT
G.Total as the xlsx states (Sprint 21 Finance alignment). Offcut uses
(Cavities MOD Width) / Cavities — NOT the log-width formula. Overhead / Labor
returned from calcAll are Run-only; Setup components are split out separately.
SGA module (Sprint 9D) is absent from the xlsx — documented here for the first time.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Key formulas at a glance · Công thức chính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00"/>
        <w:gridCol w:w="2126"/>
      </w:tblGrid>
      <w:tr>
        <w:trPr>
          <w:tblHeader/>
        </w:trPr>
        <w:tc>
          <w:tcPr>
            <w:tcW w:type="dxa" w:w="19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 (as implemented)</w:t>
            </w:r>
          </w:p>
        </w:tc>
        <w:tc>
          <w:tcPr>
            <w:tcW w:type="dxa" w:w="2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9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GM% (Gross Margin)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1 − s_ttl / sp_price</w:t>
            </w:r>
          </w:p>
        </w:tc>
        <w:tc>
          <w:tcPr>
            <w:tcW w:type="dxa" w:w="2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Corrected — s_ttl (supplier), not g_ttl. Sprint 21.</w:t>
            </w:r>
          </w:p>
        </w:tc>
      </w:tr>
      <w:tr>
        <w:tc>
          <w:tcPr>
            <w:tcW w:type="dxa" w:w="19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VA% (Value Add)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1 − (s_mat_cost + tooling + packing_ship) / sp_price</w:t>
            </w:r>
          </w:p>
        </w:tc>
        <w:tc>
          <w:tcPr>
            <w:tcW w:type="dxa" w:w="2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Corrected — supplier mat, not gross.</w:t>
            </w:r>
          </w:p>
        </w:tc>
      </w:tr>
      <w:tr>
        <w:tc>
          <w:tcPr>
            <w:tcW w:type="dxa" w:w="19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CONTR% (Contribution)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1 − (s_mat_cost + tooling + packing_ship + run_labor_only) / sp_price</w:t>
            </w:r>
          </w:p>
        </w:tc>
        <w:tc>
          <w:tcPr>
            <w:tcW w:type="dxa" w:w="2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Corrected — RUN labor only; setup → GM bucket.</w:t>
            </w:r>
          </w:p>
        </w:tc>
      </w:tr>
      <w:tr>
        <w:tc>
          <w:tcPr>
            <w:tcW w:type="dxa" w:w="19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S.TOTAL COST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s_mat_cost + overhead + labor_cost + vat_loss + tooling + proc_extra + packing_ship</w:t>
            </w:r>
          </w:p>
        </w:tc>
        <w:tc>
          <w:tcPr>
            <w:tcW w:type="dxa" w:w="2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Verified — primary basis for GM.</w:t>
            </w:r>
          </w:p>
        </w:tc>
      </w:tr>
      <w:tr>
        <w:tc>
          <w:tcPr>
            <w:tcW w:type="dxa" w:w="19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G.TOTAL COST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g_mat_cost + overhead + labor_cost + vat_loss + tooling + proc_extra + packing_ship</w:t>
            </w:r>
          </w:p>
        </w:tc>
        <w:tc>
          <w:tcPr>
            <w:tcW w:type="dxa" w:w="2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Verified — purchase-price basis.</w:t>
            </w:r>
          </w:p>
        </w:tc>
      </w:tr>
      <w:tr>
        <w:tc>
          <w:tcPr>
            <w:tcW w:type="dxa" w:w="19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UPH (m/min)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speed × eff × 60 × 1000 / max(1, pitch) × layout</w:t>
            </w:r>
          </w:p>
        </w:tc>
        <w:tc>
          <w:tcPr>
            <w:tcW w:type="dxa" w:w="2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Verified — pitch floored at 1.</w:t>
            </w:r>
          </w:p>
        </w:tc>
      </w:tr>
      <w:tr>
        <w:tc>
          <w:tcPr>
            <w:tcW w:type="dxa" w:w="19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SGA (Sprint 9D)</w:t>
            </w:r>
          </w:p>
        </w:tc>
        <w:tc>
          <w:tcPr>
            <w:tcW w:type="dxa" w:w="5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g_ttl × sga_rate_pct_by_site / 100</w:t>
            </w:r>
          </w:p>
        </w:tc>
        <w:tc>
          <w:tcPr>
            <w:tcW w:type="dxa" w:w="2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Added — absent from xlsx. Per-site, default 0%.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02. Header Tab — Basic Information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Quote identity, MOQ, Trade Mode, Site, Selling Price.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Input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1600"/>
        <w:gridCol w:w="3800"/>
        <w:gridCol w:w="1126"/>
      </w:tblGrid>
      <w:tr>
        <w:trPr>
          <w:tblHeader/>
        </w:trP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Req?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Affects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CCL Part Number</w:t>
            </w:r>
          </w:p>
        </w:tc>
        <w:tc>
          <w:tcPr>
            <w:tcW w:type="dxa" w:w="7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T3000001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CCL product code. Format: T + 7 digits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ID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MOQ</w:t>
            </w:r>
          </w:p>
        </w:tc>
        <w:tc>
          <w:tcPr>
            <w:tcW w:type="dxa" w:w="7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250,000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Order Quantity — MUST be &gt; 0!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cost, Tooling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Qty (EAU)</w:t>
            </w:r>
          </w:p>
        </w:tc>
        <w:tc>
          <w:tcPr>
            <w:tcW w:type="dxa" w:w="7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3,000,000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Annual Usage. Used for tooling EAU cap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Tooling amortization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Lifetime</w:t>
            </w:r>
          </w:p>
        </w:tc>
        <w:tc>
          <w:tcPr>
            <w:tcW w:type="dxa" w:w="7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Years. EAU_total = Annual × Lifetime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Tooling lifetime cap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 Mode</w:t>
            </w:r>
          </w:p>
        </w:tc>
        <w:tc>
          <w:tcPr>
            <w:tcW w:type="dxa" w:w="7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USD(Normal)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USD(Normal): no VAT · USD(Book): +15% · VND/RMB: local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 Loss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</w:t>
            </w:r>
          </w:p>
        </w:tc>
        <w:tc>
          <w:tcPr>
            <w:tcW w:type="dxa" w:w="7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VN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 / 41 RDC / 41 Flexo / 55 / 49 / 54 / India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lookups, Rates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Selling Price</w:t>
            </w:r>
          </w:p>
        </w:tc>
        <w:tc>
          <w:tcPr>
            <w:tcW w:type="dxa" w:w="7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0.099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selling price (USD). SP=0 → VA% / GM% = N/A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VA%, CONTR%, GM%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CONTR%</w:t>
            </w:r>
          </w:p>
        </w:tc>
        <w:tc>
          <w:tcPr>
            <w:tcW w:type="dxa" w:w="7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25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Contribution % for reverse Target SP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Price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Term</w:t>
            </w:r>
          </w:p>
        </w:tc>
        <w:tc>
          <w:tcPr>
            <w:tcW w:type="dxa" w:w="7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DAP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DAP / FOB / EXW / CIF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Quotation doc</w:t>
            </w:r>
          </w:p>
        </w:tc>
      </w:tr>
    </w:tbl>
    <w:p>
      <w:pPr>
        <w:pBdr>
          <w:left w:val="single" w:color="DC2626" w:sz="24" w:space="1"/>
        </w:pBdr>
        <w:shd w:fill="FEE2E2" w:val="clear"/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CRITICAL — MOQ field</w:t>
      </w:r>
    </w:p>
    <w:p>
      <w:pPr>
        <w:pBdr>
          <w:left w:val="single" w:color="DC2626" w:sz="24" w:space="1"/>
        </w:pBdr>
        <w:shd w:fill="FEE2E2" w:val="clear"/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MOQ = 0 is the most serious input error in the system. Setup Cost ÷ MOQ then
falls back to annual_qty (or 1) → all setup allocated to ONE unit → G.TOTAL
inflated ×MOQ → VA% / GM% = −435,000%. ALWAYS enter MOQ &gt; 0 before calculating.
⚠ Corrected vs. xlsx: the actual fallback is annual_qty → 1 (not just → 1).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03. Layout Tab — Dimensions &amp; Pitch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A. Input 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3500"/>
        <w:gridCol w:w="1126"/>
      </w:tblGrid>
      <w:tr>
        <w:trPr>
          <w:tblHeader/>
        </w:trP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Ex.</w:t>
            </w:r>
          </w:p>
        </w:tc>
        <w:tc>
          <w:tcPr>
            <w:tcW w:type="dxa" w:w="3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Affects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Width (mm)</w:t>
            </w:r>
          </w:p>
        </w:tc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part_width</w:t>
            </w:r>
          </w:p>
        </w:tc>
        <w:tc>
          <w:tcPr>
            <w:tcW w:type="dxa" w:w="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82</w:t>
            </w:r>
          </w:p>
        </w:tc>
        <w:tc>
          <w:tcPr>
            <w:tcW w:type="dxa" w:w="3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 in the TD direction (across web)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QPA(m²)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Length (mm)</w:t>
            </w:r>
          </w:p>
        </w:tc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sheet_length</w:t>
            </w:r>
          </w:p>
        </w:tc>
        <w:tc>
          <w:tcPr>
            <w:tcW w:type="dxa" w:w="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52</w:t>
            </w:r>
          </w:p>
        </w:tc>
        <w:tc>
          <w:tcPr>
            <w:tcW w:type="dxa" w:w="3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 in MD direction — used to calculate Pitch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Pitch, QPA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 Gap MD (mm)</w:t>
            </w:r>
          </w:p>
        </w:tc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min_gap_md</w:t>
            </w:r>
          </w:p>
        </w:tc>
        <w:tc>
          <w:tcPr>
            <w:tcW w:type="dxa" w:w="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gap between parts along MD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Webs</w:t>
            </w:r>
          </w:p>
        </w:tc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num_webs</w:t>
            </w:r>
          </w:p>
        </w:tc>
        <w:tc>
          <w:tcPr>
            <w:tcW w:type="dxa" w:w="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web lanes. = 2 for duplex web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QPA_LM, UPH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Parts in MD</w:t>
            </w:r>
          </w:p>
        </w:tc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parts_in_md</w:t>
            </w:r>
          </w:p>
        </w:tc>
        <w:tc>
          <w:tcPr>
            <w:tcW w:type="dxa" w:w="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rows in MD direction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Layout/Sheet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Parts across TD</w:t>
            </w:r>
          </w:p>
        </w:tc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parts_web_across</w:t>
            </w:r>
          </w:p>
        </w:tc>
        <w:tc>
          <w:tcPr>
            <w:tcW w:type="dxa" w:w="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columns across the web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Layout/Sheet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Rotary Cols</w:t>
            </w:r>
          </w:p>
        </w:tc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rotary_cols</w:t>
            </w:r>
          </w:p>
        </w:tc>
        <w:tc>
          <w:tcPr>
            <w:tcW w:type="dxa" w:w="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0: sheet mode · &gt; 0: rotary pitch formula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Pcs per Roll</w:t>
            </w:r>
          </w:p>
        </w:tc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pcs_per_roll</w:t>
            </w:r>
          </w:p>
        </w:tc>
        <w:tc>
          <w:tcPr>
            <w:tcW w:type="dxa" w:w="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50,000</w:t>
            </w:r>
          </w:p>
        </w:tc>
        <w:tc>
          <w:tcPr>
            <w:tcW w:type="dxa" w:w="3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Pieces per roll — Meter/Roll display only</w:t>
            </w:r>
          </w:p>
        </w:tc>
        <w:tc>
          <w:tcPr>
            <w:tcW w:type="dxa" w:w="11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only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B. Auto-calculated formulas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Pitch (Sheet mode)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P = sheet_length + min_gap_md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Used when rotary_cols = 0.</w:t>
      </w:r>
    </w:p>
    <w:p>
      <w:pPr>
        <w:shd w:fill="F0FDF4" w:val="clear"/>
        <w:spacing w:after="20" w:before="4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Ví dụ · Example: </w:t>
      </w:r>
    </w:p>
    <w:p>
      <w:pPr>
        <w:shd w:fill="F0FDF4" w:val="clear"/>
        <w:spacing w:after="60" w:before="0"/>
        <w:ind w:left="240"/>
      </w:pPr>
      <w:r>
        <w:rPr>
          <w:rFonts w:ascii="Consolas" w:cs="Consolas" w:eastAsia="Consolas" w:hAnsi="Consolas"/>
          <w:color w:val="14532D"/>
          <w:sz w:val="19"/>
          <w:szCs w:val="19"/>
        </w:rPr>
        <w:t xml:space="preserve">52 + 2 = 54 mm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Pitch (Rotary mode)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Z = ⌈(Length + Gap) × cols / 3.175⌉
P = Z × 3.175 / cols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3.175 mm = 1 tooth pitch constant on rotary dies.</w:t>
      </w:r>
    </w:p>
    <w:p>
      <w:pPr>
        <w:shd w:fill="F0FDF4" w:val="clear"/>
        <w:spacing w:after="20" w:before="4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Ví dụ · Example: </w:t>
      </w:r>
    </w:p>
    <w:p>
      <w:pPr>
        <w:shd w:fill="F0FDF4" w:val="clear"/>
        <w:spacing w:after="60" w:before="0"/>
        <w:ind w:left="240"/>
      </w:pPr>
      <w:r>
        <w:rPr>
          <w:rFonts w:ascii="Consolas" w:cs="Consolas" w:eastAsia="Consolas" w:hAnsi="Consolas"/>
          <w:color w:val="14532D"/>
          <w:sz w:val="19"/>
          <w:szCs w:val="19"/>
        </w:rPr>
        <w:t xml:space="preserve">Z = 17 → P = 17 × 3.175 / 1 = 54.175 mm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Layout per Sheet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L = parts_in_md × parts_web_across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Parts per stroke/sheet.</w:t>
      </w:r>
    </w:p>
    <w:p>
      <w:pPr>
        <w:shd w:fill="F0FDF4" w:val="clear"/>
        <w:spacing w:after="20" w:before="4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Ví dụ · Example: </w:t>
      </w:r>
    </w:p>
    <w:p>
      <w:pPr>
        <w:shd w:fill="F0FDF4" w:val="clear"/>
        <w:spacing w:after="60" w:before="0"/>
        <w:ind w:left="240"/>
      </w:pPr>
      <w:r>
        <w:rPr>
          <w:rFonts w:ascii="Consolas" w:cs="Consolas" w:eastAsia="Consolas" w:hAnsi="Consolas"/>
          <w:color w:val="14532D"/>
          <w:sz w:val="19"/>
          <w:szCs w:val="19"/>
        </w:rPr>
        <w:t xml:space="preserve">1 × 4 = 4 cav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QPA (m²)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QPA = Pitch × Width / 1,000,000 / Cavities / Webs × Usage</w:t>
      </w:r>
    </w:p>
    <w:p>
      <w:pPr>
        <w:shd w:fill="F0FDF4" w:val="clear"/>
        <w:spacing w:after="20" w:before="4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Ví dụ · Example: </w:t>
      </w:r>
    </w:p>
    <w:p>
      <w:pPr>
        <w:shd w:fill="F0FDF4" w:val="clear"/>
        <w:spacing w:after="60" w:before="0"/>
        <w:ind w:left="240"/>
      </w:pPr>
      <w:r>
        <w:rPr>
          <w:rFonts w:ascii="Consolas" w:cs="Consolas" w:eastAsia="Consolas" w:hAnsi="Consolas"/>
          <w:color w:val="14532D"/>
          <w:sz w:val="19"/>
          <w:szCs w:val="19"/>
        </w:rPr>
        <w:t xml:space="preserve">54 × 82 / 1e6 / 1 / 1 × 1 = 0.004428 m²/pcs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QPA (LM)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QPA_LM = Pitch / 1000 / Cavities / Webs × Usage</w:t>
      </w:r>
    </w:p>
    <w:p>
      <w:pPr>
        <w:shd w:fill="F0FDF4" w:val="clear"/>
        <w:spacing w:after="20" w:before="4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Ví dụ · Example: </w:t>
      </w:r>
    </w:p>
    <w:p>
      <w:pPr>
        <w:shd w:fill="F0FDF4" w:val="clear"/>
        <w:spacing w:after="60" w:before="0"/>
        <w:ind w:left="240"/>
      </w:pPr>
      <w:r>
        <w:rPr>
          <w:rFonts w:ascii="Consolas" w:cs="Consolas" w:eastAsia="Consolas" w:hAnsi="Consolas"/>
          <w:color w:val="14532D"/>
          <w:sz w:val="19"/>
          <w:szCs w:val="19"/>
        </w:rPr>
        <w:t xml:space="preserve">54 / 1000 / 4 / 1 × 1 = 0.0135 LM/pcs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Scrap Factor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S = 1 − ∏(1 − scrap_pct_i)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Combined yield loss across all processes.</w:t>
      </w:r>
    </w:p>
    <w:p>
      <w:pPr>
        <w:shd w:fill="F0FDF4" w:val="clear"/>
        <w:spacing w:after="20" w:before="4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Ví dụ · Example: </w:t>
      </w:r>
    </w:p>
    <w:p>
      <w:pPr>
        <w:shd w:fill="F0FDF4" w:val="clear"/>
        <w:spacing w:after="60" w:before="0"/>
        <w:ind w:left="240"/>
      </w:pPr>
      <w:r>
        <w:rPr>
          <w:rFonts w:ascii="Consolas" w:cs="Consolas" w:eastAsia="Consolas" w:hAnsi="Consolas"/>
          <w:color w:val="14532D"/>
          <w:sz w:val="19"/>
          <w:szCs w:val="19"/>
        </w:rPr>
        <w:t xml:space="preserve">1 − (0.97 × 0.98) = 4.94%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04. Materials Tab — Cost Formulas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Setup + Run, Offcut %, Scrap factor, VAT Loss — calcMat()</w:t>
      </w:r>
    </w:p>
    <w:p>
      <w:pPr>
        <w:pBdr>
          <w:left w:val="single" w:color="DC2626" w:sz="24" w:space="1"/>
        </w:pBdr>
        <w:shd w:fill="FEE2E2" w:val="clear"/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Corrected — Offcut priority order</w:t>
      </w:r>
    </w:p>
    <w:p>
      <w:pPr>
        <w:pBdr>
          <w:left w:val="single" w:color="DC2626" w:sz="24" w:space="1"/>
        </w:pBdr>
        <w:shd w:fill="FEE2E2" w:val="clear"/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The xlsx documented a single (log_width MOD mat_width) formula. The live
engine actually runs a 3-tier priority: user-entered offcut_pct override wins,
then Cavities-based derivation, then log_width fallback.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Offcut % — 3-tier resolver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Priority 1 (user override):
  if offcut_pct provided → min(raw &gt; 1 ? raw/100 : raw, 0.999)
Priority 2 (Cavities-based, default):
  width    = mat.width   || st.web_width_td
  cavities = mat.cavities || calcLayoutPerSheet(st)
  OC = min(cavities % width / cavities, 0.999)
Priority 3 (legacy log_width fallback):
  OC = min(log_width % width / log_width, 0.999)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enforced by calcOffcut(). Capped at 0.999 to avoid div-by-zero.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Slitting surcharge (slit_adj)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Y → $0.50/LM · blank → $0.10/LM (default) · N → $0.00/LM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flat per-LM adder on top of material price.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Setup Cost/unit (S price)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Setup_S = MOQ &gt; 0 ? (sp + slit_adj) × setup_lm × usage × (width/1000) / (1 − OC) / MOQ : 0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MOQ=0 guard returns 0.</w:t>
      </w:r>
    </w:p>
    <w:p>
      <w:pPr>
        <w:shd w:fill="F0FDF4" w:val="clear"/>
        <w:spacing w:after="20" w:before="4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Ví dụ · Example: </w:t>
      </w:r>
    </w:p>
    <w:p>
      <w:pPr>
        <w:shd w:fill="F0FDF4" w:val="clear"/>
        <w:spacing w:after="60" w:before="0"/>
        <w:ind w:left="240"/>
      </w:pPr>
      <w:r>
        <w:rPr>
          <w:rFonts w:ascii="Consolas" w:cs="Consolas" w:eastAsia="Consolas" w:hAnsi="Consolas"/>
          <w:color w:val="14532D"/>
          <w:sz w:val="19"/>
          <w:szCs w:val="19"/>
        </w:rPr>
        <w:t xml:space="preserve">sp=2.50, setup_lm=50, usage=1, width=82, OC=0.05, MOQ=250k
= 2.50 × 50 × 1 × 0.082 / 0.95 / 250,000 = $0.0000432 / pcs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Run Cost/unit (S price)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Run_S = (sp + slit_adj) × (width/1000) × qpa_lm_raw / safeYield(scrap) / safeYield(OC) × usage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safeYield floors denom at 0.001. qpa_lm_raw is UN-rounded.</w:t>
      </w:r>
    </w:p>
    <w:p>
      <w:pPr>
        <w:shd w:fill="F0FDF4" w:val="clear"/>
        <w:spacing w:after="20" w:before="4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Ví dụ · Example: </w:t>
      </w:r>
    </w:p>
    <w:p>
      <w:pPr>
        <w:shd w:fill="F0FDF4" w:val="clear"/>
        <w:spacing w:after="60" w:before="0"/>
        <w:ind w:left="240"/>
      </w:pPr>
      <w:r>
        <w:rPr>
          <w:rFonts w:ascii="Consolas" w:cs="Consolas" w:eastAsia="Consolas" w:hAnsi="Consolas"/>
          <w:color w:val="14532D"/>
          <w:sz w:val="19"/>
          <w:szCs w:val="19"/>
        </w:rPr>
        <w:t xml:space="preserve">sp=2.50, width=82, qpa_lm_raw=0.0135, scrap=0.03, OC=0.05
= 2.50 × 0.082 × 0.0135 / 0.97 / 0.95 × 1 = $0.00300 / pcs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Run Cost/unit (G price)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Run_G = (gp + slit_adj) × (width/1000) × qpa_lm_raw / safeYield(scrap) / safeYield(OC) × usage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identical shape, uses purchase price.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VAT Loss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VAT = (trade_mode === 'USD(Book)') ? (setup_s + run_s) × 0.15 : 0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applied only when trade_mode literal = "USD(Book)".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Ink Run Cost — SS / Flexo / LP (non-Indigo)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qpa_lm_ink = pitch/1000 / layout_per_sheet / (num_webs || 1)
width_m    = base_mat.width/1000  OR  parse trailing digits from base_mat code
Ink_Run    = price × qpa_lm_ink × area_pct × width_m / coverage / safeYield(scrap)
             (returns 0 if coverage = 0 OR width_m = 0)
Ink_Setup  = price × (setup_kg + coverage&gt;0
                      ? area_pct × width_m × base_usage / coverage : 0) / MOQ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coverage from lib.ddl.coverage, keyed by ink.print_type.</w:t>
      </w:r>
    </w:p>
    <w:p>
      <w:pPr>
        <w:shd w:fill="F0FDF4" w:val="clear"/>
        <w:spacing w:after="20" w:before="4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Ví dụ · Example: </w:t>
      </w:r>
    </w:p>
    <w:p>
      <w:pPr>
        <w:shd w:fill="F0FDF4" w:val="clear"/>
        <w:spacing w:after="60" w:before="0"/>
        <w:ind w:left="240"/>
      </w:pPr>
      <w:r>
        <w:rPr>
          <w:rFonts w:ascii="Consolas" w:cs="Consolas" w:eastAsia="Consolas" w:hAnsi="Consolas"/>
          <w:color w:val="14532D"/>
          <w:sz w:val="19"/>
          <w:szCs w:val="19"/>
        </w:rPr>
        <w:t xml:space="preserve">price=$30, qpa_lm=0.0135, area=0.10, width=0.082m, cov=30, scrap=0.03
Run = 30 × 0.0135 × 0.10 × 0.082 / 30 / 0.97 = $0.0000114 /pcs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Ink Run Cost — Indigo (click-based)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L_ind     = ⌊980 / pitch⌋ × layout_per_sheet × num_webs
cc        = LOOKUP(clicks, lib.ddl.click_charges)   [largest key ≤ clicks]
Ink_Run   = L_ind &gt; 0 ? cc × clicks / L_ind / safeYield(scrap) : 0
Ink_Setup = cc × clicks × ⌈base_usage / 0.98⌉ / MOQ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980 mm = Indigo sheet width. clicks = ink channels used.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Totals (s_mat_cost / g_mat_cost)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s_mat_cost = Σ(setup_s + run_s) [materials] + Σ(setup_s + run_s) [inks]
g_mat_cost = Σ(setup_g + run_g) [materials] + Σ(setup_s + run_s) [inks]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inks only have S price, contribute identically to both totals.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05. Processes Tab — Machine · Labor · Tooling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A. UPH formulas — 5 speed UOMs</w:t>
      </w:r>
    </w:p>
    <w:p>
      <w:pPr>
        <w:pBdr>
          <w:left w:val="single" w:color="EAB308" w:sz="24" w:space="1"/>
        </w:pBdr>
        <w:shd w:fill="FEF9C3" w:val="clear"/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ℹ How the engine resolves speed_uom</w:t>
      </w:r>
    </w:p>
    <w:p>
      <w:pPr>
        <w:pBdr>
          <w:left w:val="single" w:color="EAB308" w:sz="24" w:space="1"/>
        </w:pBdr>
        <w:shd w:fill="FEF9C3" w:val="clear"/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speed_uom comes from the Rate Table row. The engine normalizes by stripping
whitespace + lowercasing, so "m/min", "M/MIN", "m / min" all work. An
unrecognized UOM yields uph=0 → zero machine + labor cost (not an error).
Pitch is floored at 1 via max(1, pitch) to avoid div-by-zero.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UPH (m/min)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uph = speed × eff × 60 × 1000 / max(1, pitch) × layout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pitch in mm, ×1000 converts m→mm.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UPH (Mtr/Hr)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uph = speed × eff × 1000 / max(1, pitch) × layout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matches "mtr/hr" OR "m/hr".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UPH (Stamp/min)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uph = speed × eff × 60 × layout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1 stroke = Layout cavities.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UPH (Pcs/hr)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uph = speed × eff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direct pcs/hr, no Layout multiplier.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UPH (Sheets/hr)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uph = speed × eff × layout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accepts "sheets/hr" and "sheet/hr".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B. Cost formulas (verified from calcProcess())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Setup Machine/unit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setup_mach = MOQ &gt; 0 ? setup_h × mach_rate / MOQ × repeat : 0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MOQ=0 returns 0 (safe). Default repeat=1.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Setup Labor/unit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setup_labor = MOQ &gt; 0 ? setup_h × labor_rate × crew / MOQ × repeat : 0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crew from rate table.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Run Machine/unit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scrapFactor = 1 − calcMatScrapFactor(st)
run_mach    = uph &gt; 0 ? mach_rate / uph / max(0.001, scrapFactor) × repeat : 0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floor 0.001 prevents scrap=99.9% blow-up.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Run Labor/unit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run_labor = ((uph &gt; 0 ? labor_rate × crew / uph / max(0.001, SF) : 0)
            + (manual_uph &gt; 0 ? manual_rate / manual_uph / max(0.001, SF) : 0)
           ) × repeat
  where manual_rate = rate of 'Manual' workcenter || $2.54/h fallback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manual_uph=0 skips the manual addition.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EAU (lifetime qty for tooling cap)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eau = (eau_ovr &gt; 0) ? eau_ovr
      : (annual_qty || moq) × (product_lifetime || 1)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⚠ Corrected — falls back to MOQ when annual_qty is absent (not to 1 as xlsx said).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Tooling/unit — Standard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tlife = tool_life_ovr ? tool_life : (DDL.tool_life[tool_type] || 1)
totalToolPcs = tlife × layout
tool = totalToolPcs &gt; eau
  ? tool_cost / eau              ← EAU cap applies
  : tool_cost / totalToolPcs     ← normal amortization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if tool_type missing from DDL, tlife → 1 (sentinel).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Tooling/unit — Jig (normalized match)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ttNorm = tool_type.toLowerCase().replace(/[\s&amp;]/g, '')
isJig  = ttNorm === 'jig' || ttNorm === 'jigfixture'
if (isJig):
  tool = (tlife &gt; eau) ? tool_cost / eau : tool_cost / tlife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⚠ Corrected — xlsx omitted DDL key normalization. "Jig &amp; Fixture", "jig", "JIG" all work identically.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Extra cost per unit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extra     = (extra_cost &gt; 0) ? extra_cost / max(0.001, SF) : 0
extra_vat = (trade_mode === 'USD(Book)') ? extra × 0.15 : 0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⚠ Added — xlsx omitted this; scrap-adjusted.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06. Packing, Shipping &amp; Summary KPIs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A. Packing cost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Container/unit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Container_cost / pcs_per_bag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Box/unit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Box_cost / bags_per_box / pcs_per_bag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Other Packing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other_packing  (USD/unit — entered directly)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Shipping/unit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(shipping_cost + other_ship) / ship_qty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✅ Verified — ship_qty = st.ship_qty || st.moq || 1.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Total Pack &amp; Ship</w:t>
      </w:r>
    </w:p>
    <w:p>
      <w:pPr>
        <w:shd w:fill="111827" w:val="clear"/>
        <w:spacing w:after="40" w:before="40"/>
        <w:ind w:left="240"/>
      </w:pPr>
      <w:r>
        <w:rPr>
          <w:rFonts w:ascii="Consolas" w:cs="Consolas" w:eastAsia="Consolas" w:hAnsi="Consolas"/>
          <w:color w:val="D1FAE5"/>
          <w:sz w:val="20"/>
          <w:szCs w:val="20"/>
        </w:rPr>
        <w:t xml:space="preserve">= Container/unit + Box/unit + Other + Shipping/unit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B. Summary KPIs (verified from calcAll())</w:t>
      </w:r>
    </w:p>
    <w:p>
      <w:pPr>
        <w:pBdr>
          <w:left w:val="single" w:color="DC2626" w:sz="24" w:space="1"/>
        </w:pBdr>
        <w:shd w:fill="FEE2E2" w:val="clear"/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Sprint 21 Finance alignment — xlsx is stale</w:t>
      </w:r>
    </w:p>
    <w:p>
      <w:pPr>
        <w:pBdr>
          <w:left w:val="single" w:color="DC2626" w:sz="24" w:space="1"/>
        </w:pBdr>
        <w:shd w:fill="FEE2E2" w:val="clear"/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Prior to Sprint 21, VA% / CONTR% / GM% used g_mat_cost + g_ttl — but those
didn't reconcile with the Cost Breakdown UI which shows supplier-price columns.
Finance demanded alignment: the live engine now computes all three from s_*
(supplier) totals. The xlsx v3.3 still documents the old G-basis formulas.
Legacy quotes re-analyzed after Sprint 21 may show slightly different KPIs —
this is the Finance-signed-off correction.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10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 formula</w:t>
            </w:r>
          </w:p>
        </w:tc>
        <w:tc>
          <w:tcPr>
            <w:tcW w:type="dxa" w:w="1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1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S.TOTAL COST ★</w:t>
            </w:r>
          </w:p>
        </w:tc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s_mat_cost + overhead + labor_cost + vat_loss + proc_extra_vat + tooling + proc_extra + packing_ship</w:t>
            </w:r>
          </w:p>
        </w:tc>
        <w:tc>
          <w:tcPr>
            <w:tcW w:type="dxa" w:w="1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basis for GM%, VA%, CONTR%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G.TOTAL COST</w:t>
            </w:r>
          </w:p>
        </w:tc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g_mat_cost + overhead + labor_cost + vat_loss + proc_extra_vat + tooling + proc_extra + packing_ship</w:t>
            </w:r>
          </w:p>
        </w:tc>
        <w:tc>
          <w:tcPr>
            <w:tcW w:type="dxa" w:w="1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Purchase-price basis; feeds SGA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VA% (Value Add)</w:t>
            </w:r>
          </w:p>
        </w:tc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1 − (s_mat_cost + tooling + packing_ship) / sp_price</w:t>
            </w:r>
          </w:p>
        </w:tc>
        <w:tc>
          <w:tcPr>
            <w:tcW w:type="dxa" w:w="1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&gt; 30%</w:t>
            </w:r>
          </w:p>
        </w:tc>
        <w:tc>
          <w:tcPr>
            <w:tcW w:type="dxa" w:w="1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s_mat (not g_mat); excludes overhead + labor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CONTR%</w:t>
            </w:r>
          </w:p>
        </w:tc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1 − (s_mat_cost + tooling + packing_ship + run_labor_only) / sp_price</w:t>
            </w:r>
          </w:p>
        </w:tc>
        <w:tc>
          <w:tcPr>
            <w:tcW w:type="dxa" w:w="1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&gt; 25%</w:t>
            </w:r>
          </w:p>
        </w:tc>
        <w:tc>
          <w:tcPr>
            <w:tcW w:type="dxa" w:w="1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Uses run_labor_only = labor_cost − setup_labor_total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GM%</w:t>
            </w:r>
          </w:p>
        </w:tc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1 − s_ttl / sp_price</w:t>
            </w:r>
          </w:p>
        </w:tc>
        <w:tc>
          <w:tcPr>
            <w:tcW w:type="dxa" w:w="1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&gt; 15%</w:t>
            </w:r>
          </w:p>
        </w:tc>
        <w:tc>
          <w:tcPr>
            <w:tcW w:type="dxa" w:w="1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Uses s_ttl, not g_ttl!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GM% after SGA</w:t>
            </w:r>
          </w:p>
        </w:tc>
        <w:tc>
          <w:tcPr>
            <w:tcW w:type="dxa" w:w="4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1 − (s_ttl + sga) / sp_price</w:t>
            </w:r>
          </w:p>
        </w:tc>
        <w:tc>
          <w:tcPr>
            <w:tcW w:type="dxa" w:w="1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Added — Sprint 9D.3. Per-site rate.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C. Returned Overhead / Labor fields</w:t>
      </w:r>
    </w:p>
    <w:p>
      <w:pPr>
        <w:pBdr>
          <w:left w:val="single" w:color="DC2626" w:sz="24" w:space="1"/>
        </w:pBdr>
        <w:shd w:fill="FEE2E2" w:val="clear"/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Critical interpretation difference vs. xlsx</w:t>
      </w:r>
    </w:p>
    <w:p>
      <w:pPr>
        <w:pBdr>
          <w:left w:val="single" w:color="DC2626" w:sz="24" w:space="1"/>
        </w:pBdr>
        <w:shd w:fill="FEE2E2" w:val="clear"/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The xlsx said Overhead = Σ(Run_Machine + Setup_Machine). The engine's
calcAll() return object has:
• overhead: overhead − setup_mach_total   → Run machine ONLY
• labor_cost: labor_cost − setup_labor_total → Run labor ONLY
• bd_setup_mach: setup_mach_total  — setup shown separately
• bd_setup_labor: setup_labor_total — setup shown separately
When Cost Breakdown tab shows "Overhead", that's the RUN portion. Setup is in
its own row. S.TOTAL still adds BOTH (via the sum expression above), so GM% is
unchanged — this is just a reporting granularity fix.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07. Reference Tables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 Tool life table (DDL database)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8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Type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 (shots)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Ref. Cost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Knife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20,000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cutting blade</w:t>
            </w:r>
          </w:p>
        </w:tc>
        <w:tc>
          <w:tcPr>
            <w:tcW w:type="dxa" w:w="1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Etching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20,000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Chemical etching plate</w:t>
            </w:r>
          </w:p>
        </w:tc>
        <w:tc>
          <w:tcPr>
            <w:tcW w:type="dxa" w:w="1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$80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Carving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40,000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Carved die</w:t>
            </w:r>
          </w:p>
        </w:tc>
        <w:tc>
          <w:tcPr>
            <w:tcW w:type="dxa" w:w="1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Metal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500,000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High-durability metal die</w:t>
            </w:r>
          </w:p>
        </w:tc>
        <w:tc>
          <w:tcPr>
            <w:tcW w:type="dxa" w:w="1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Rotary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200,000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Rotary die-cut tool</w:t>
            </w:r>
          </w:p>
        </w:tc>
        <w:tc>
          <w:tcPr>
            <w:tcW w:type="dxa" w:w="1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Stencil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20,000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printing stencil / mesh</w:t>
            </w:r>
          </w:p>
        </w:tc>
        <w:tc>
          <w:tcPr>
            <w:tcW w:type="dxa" w:w="1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$30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Pressplate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200,000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Printing plate (Indigo/Flexo/SS)</w:t>
            </w:r>
          </w:p>
        </w:tc>
        <w:tc>
          <w:tcPr>
            <w:tcW w:type="dxa" w:w="1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$196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Jig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1,000,000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Jig &amp; fixture (holding tool)</w:t>
            </w:r>
          </w:p>
        </w:tc>
        <w:tc>
          <w:tcPr>
            <w:tcW w:type="dxa" w:w="1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CNC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1,000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CNC router bit / milling cutter</w:t>
            </w:r>
          </w:p>
        </w:tc>
        <w:tc>
          <w:tcPr>
            <w:tcW w:type="dxa" w:w="1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Pinnacle Die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60,000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Pinnacle die</w:t>
            </w:r>
          </w:p>
        </w:tc>
        <w:tc>
          <w:tcPr>
            <w:tcW w:type="dxa" w:w="1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$1,200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RDC</w:t>
            </w:r>
          </w:p>
        </w:tc>
        <w:tc>
          <w:tcPr>
            <w:tcW w:type="dxa" w:w="1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200,000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Rotary Die Cutting tool</w:t>
            </w:r>
          </w:p>
        </w:tc>
        <w:tc>
          <w:tcPr>
            <w:tcW w:type="dxa" w:w="18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$1,529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 Click charges (Indigo)</w:t>
      </w:r>
    </w:p>
    <w:p>
      <w:pPr>
        <w:pBdr>
          <w:left w:val="single" w:color="22C55E" w:sz="24" w:space="1"/>
        </w:pBdr>
        <w:shd w:fill="F0FDF4" w:val="clear"/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Indigo formula</w:t>
      </w:r>
    </w:p>
    <w:p>
      <w:pPr>
        <w:pBdr>
          <w:left w:val="single" w:color="22C55E" w:sz="24" w:space="1"/>
        </w:pBdr>
        <w:shd w:fill="F0FDF4" w:val="clear"/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Run = click_charge × clicks / Layout_Indigo / (1 − Scrap%)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Charge (USD)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 Job Type</w:t>
            </w:r>
          </w:p>
        </w:tc>
        <w:tc>
          <w:tcPr>
            <w:tcW w:type="dxa" w:w="2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$0.030036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color (monochrome)</w:t>
            </w:r>
          </w:p>
        </w:tc>
        <w:tc>
          <w:tcPr>
            <w:tcW w:type="dxa" w:w="2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expensive — rarely used</w:t>
            </w:r>
          </w:p>
        </w:tc>
      </w:tr>
      <w:tr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$0.0074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2-click job</w:t>
            </w:r>
          </w:p>
        </w:tc>
        <w:tc>
          <w:tcPr>
            <w:tcW w:type="dxa" w:w="2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LOOKUP: largest key ≤ clicks</w:t>
            </w:r>
          </w:p>
        </w:tc>
      </w:tr>
      <w:tr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$0.0074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CMYK 4-color (standard)</w:t>
            </w:r>
          </w:p>
        </w:tc>
        <w:tc>
          <w:tcPr>
            <w:tcW w:type="dxa" w:w="2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</w:t>
            </w:r>
          </w:p>
        </w:tc>
      </w:tr>
      <w:tr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$0.0084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CMYK + 2 spot colors</w:t>
            </w:r>
          </w:p>
        </w:tc>
        <w:tc>
          <w:tcPr>
            <w:tcW w:type="dxa" w:w="2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colors bump tier</w:t>
            </w:r>
          </w:p>
        </w:tc>
      </w:tr>
      <w:tr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$0.0084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clicks</w:t>
            </w:r>
          </w:p>
        </w:tc>
        <w:tc>
          <w:tcPr>
            <w:tcW w:type="dxa" w:w="2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$0.0084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clicks</w:t>
            </w:r>
          </w:p>
        </w:tc>
        <w:tc>
          <w:tcPr>
            <w:tcW w:type="dxa" w:w="2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$0.0084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clicks</w:t>
            </w:r>
          </w:p>
        </w:tc>
        <w:tc>
          <w:tcPr>
            <w:tcW w:type="dxa" w:w="2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$0.0084</w:t>
            </w:r>
          </w:p>
        </w:tc>
        <w:tc>
          <w:tcPr>
            <w:tcW w:type="dxa" w:w="3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clicks (max)</w:t>
            </w:r>
          </w:p>
        </w:tc>
        <w:tc>
          <w:tcPr>
            <w:tcW w:type="dxa" w:w="24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Above 14: still $0.0084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 Ink coverage (m²/kg by print type)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800"/>
        <w:gridCol w:w="2026"/>
      </w:tblGrid>
      <w:tr>
        <w:trPr>
          <w:tblHeader/>
        </w:trP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 Type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</w:t>
            </w:r>
          </w:p>
        </w:tc>
        <w:tc>
          <w:tcPr>
            <w:tcW w:type="dxa" w:w="2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 (Screen)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30 m²/kg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price × QPA × area% × w_m / 30 / (1−S)</w:t>
            </w:r>
          </w:p>
        </w:tc>
        <w:tc>
          <w:tcPr>
            <w:tcW w:type="dxa" w:w="2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ink — highest consumption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 (Glue)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price × QPA × area% × w_m / 300 / (1−S)</w:t>
            </w:r>
          </w:p>
        </w:tc>
        <w:tc>
          <w:tcPr>
            <w:tcW w:type="dxa" w:w="2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adhesive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Flexo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price × QPA × area% × w_m / 300 / (1−S)</w:t>
            </w:r>
          </w:p>
        </w:tc>
        <w:tc>
          <w:tcPr>
            <w:tcW w:type="dxa" w:w="2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Flexographic ink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LP (LetterPress)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price × QPA × area% × w_m / 300 / (1−S)</w:t>
            </w:r>
          </w:p>
        </w:tc>
        <w:tc>
          <w:tcPr>
            <w:tcW w:type="dxa" w:w="2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Letterpress ink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Indigo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N/A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Uses click-charge formula (table 2)</w:t>
            </w:r>
          </w:p>
        </w:tc>
        <w:tc>
          <w:tcPr>
            <w:tcW w:type="dxa" w:w="2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Click-based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Indigo Primer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price × QPA × area% × w_m / 400 / (1−S)</w:t>
            </w:r>
          </w:p>
        </w:tc>
        <w:tc>
          <w:tcPr>
            <w:tcW w:type="dxa" w:w="2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 coat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Indigo Spot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176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price × QPA × area% × w_m / 176 / (1−S)</w:t>
            </w:r>
          </w:p>
        </w:tc>
        <w:tc>
          <w:tcPr>
            <w:tcW w:type="dxa" w:w="2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color — higher consumption</w:t>
            </w:r>
          </w:p>
        </w:tc>
      </w:tr>
      <w:tr>
        <w:tc>
          <w:tcPr>
            <w:tcW w:type="dxa" w:w="1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Indigo Oil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</w:t>
            </w:r>
          </w:p>
        </w:tc>
        <w:tc>
          <w:tcPr>
            <w:tcW w:type="dxa" w:w="3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price × QPA × area% × w_m / 400 / (1−S)</w:t>
            </w:r>
          </w:p>
        </w:tc>
        <w:tc>
          <w:tcPr>
            <w:tcW w:type="dxa" w:w="2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Oil-based Indigo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09. Worked Example — 82×52 mm Adhesive Label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MOQ 250,000 · EAU 3,000,000/yr · Site VN · Trade Mode USD(Normal)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Final cost breakdown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USD/unit</w:t>
            </w:r>
          </w:p>
        </w:tc>
        <w:tc>
          <w:tcPr>
            <w:tcW w:type="dxa" w:w="4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 field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cost (supplier)</w:t>
            </w:r>
          </w:p>
        </w:tc>
        <w:tc>
          <w:tcPr>
            <w:tcW w:type="dxa" w:w="2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$0.002670</w:t>
            </w:r>
          </w:p>
        </w:tc>
        <w:tc>
          <w:tcPr>
            <w:tcW w:type="dxa" w:w="4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s_mat_cost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Overhead (run only)</w:t>
            </w:r>
          </w:p>
        </w:tc>
        <w:tc>
          <w:tcPr>
            <w:tcW w:type="dxa" w:w="2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$0.000893</w:t>
            </w:r>
          </w:p>
        </w:tc>
        <w:tc>
          <w:tcPr>
            <w:tcW w:type="dxa" w:w="4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overhead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 Cost (run only)</w:t>
            </w:r>
          </w:p>
        </w:tc>
        <w:tc>
          <w:tcPr>
            <w:tcW w:type="dxa" w:w="2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$0.003145</w:t>
            </w:r>
          </w:p>
        </w:tc>
        <w:tc>
          <w:tcPr>
            <w:tcW w:type="dxa" w:w="4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labor_cost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machine</w:t>
            </w:r>
          </w:p>
        </w:tc>
        <w:tc>
          <w:tcPr>
            <w:tcW w:type="dxa" w:w="2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(split out)</w:t>
            </w:r>
          </w:p>
        </w:tc>
        <w:tc>
          <w:tcPr>
            <w:tcW w:type="dxa" w:w="4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bd_setup_mach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labor</w:t>
            </w:r>
          </w:p>
        </w:tc>
        <w:tc>
          <w:tcPr>
            <w:tcW w:type="dxa" w:w="2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(split out)</w:t>
            </w:r>
          </w:p>
        </w:tc>
        <w:tc>
          <w:tcPr>
            <w:tcW w:type="dxa" w:w="4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bd_setup_labor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 Loss</w:t>
            </w:r>
          </w:p>
        </w:tc>
        <w:tc>
          <w:tcPr>
            <w:tcW w:type="dxa" w:w="2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$0.000000</w:t>
            </w:r>
          </w:p>
        </w:tc>
        <w:tc>
          <w:tcPr>
            <w:tcW w:type="dxa" w:w="4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USD(Normal) → 0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Tooling</w:t>
            </w:r>
          </w:p>
        </w:tc>
        <w:tc>
          <w:tcPr>
            <w:tcW w:type="dxa" w:w="2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$0.002156</w:t>
            </w:r>
          </w:p>
        </w:tc>
        <w:tc>
          <w:tcPr>
            <w:tcW w:type="dxa" w:w="4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 &amp; Ship</w:t>
            </w:r>
          </w:p>
        </w:tc>
        <w:tc>
          <w:tcPr>
            <w:tcW w:type="dxa" w:w="2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$0.003782</w:t>
            </w:r>
          </w:p>
        </w:tc>
        <w:tc>
          <w:tcPr>
            <w:tcW w:type="dxa" w:w="4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packing_ship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S.TOTAL COST</w:t>
            </w:r>
          </w:p>
        </w:tc>
        <w:tc>
          <w:tcPr>
            <w:tcW w:type="dxa" w:w="2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$0.012646</w:t>
            </w:r>
          </w:p>
        </w:tc>
        <w:tc>
          <w:tcPr>
            <w:tcW w:type="dxa" w:w="4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s_ttl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Selling Price</w:t>
            </w:r>
          </w:p>
        </w:tc>
        <w:tc>
          <w:tcPr>
            <w:tcW w:type="dxa" w:w="2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$0.099000</w:t>
            </w:r>
          </w:p>
        </w:tc>
        <w:tc>
          <w:tcPr>
            <w:tcW w:type="dxa" w:w="4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sp_price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GM%</w:t>
            </w:r>
          </w:p>
        </w:tc>
        <w:tc>
          <w:tcPr>
            <w:tcW w:type="dxa" w:w="2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≈ 87.2%</w:t>
            </w:r>
          </w:p>
        </w:tc>
        <w:tc>
          <w:tcPr>
            <w:tcW w:type="dxa" w:w="4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1 − s_ttl / sp_price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VA%</w:t>
            </w:r>
          </w:p>
        </w:tc>
        <w:tc>
          <w:tcPr>
            <w:tcW w:type="dxa" w:w="2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≈ 91.2%</w:t>
            </w:r>
          </w:p>
        </w:tc>
        <w:tc>
          <w:tcPr>
            <w:tcW w:type="dxa" w:w="4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1 − (s_mat + tool + pack) / sp</w:t>
            </w:r>
          </w:p>
        </w:tc>
      </w:tr>
      <w:tr>
        <w:tc>
          <w:tcPr>
            <w:tcW w:type="dxa" w:w="28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CONTR%</w:t>
            </w:r>
          </w:p>
        </w:tc>
        <w:tc>
          <w:tcPr>
            <w:tcW w:type="dxa" w:w="22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≈ 88.0%</w:t>
            </w:r>
          </w:p>
        </w:tc>
        <w:tc>
          <w:tcPr>
            <w:tcW w:type="dxa" w:w="4026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1 − (s_mat + tool + pack + run_labor) / sp</w:t>
            </w:r>
          </w:p>
        </w:tc>
      </w:tr>
    </w:tbl>
    <w:p>
      <w:pPr>
        <w:pBdr>
          <w:left w:val="single" w:color="EAB308" w:sz="24" w:space="1"/>
        </w:pBdr>
        <w:shd w:fill="FEF9C3" w:val="clear"/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ℹ Note on this example</w:t>
      </w:r>
    </w:p>
    <w:p>
      <w:pPr>
        <w:pBdr>
          <w:left w:val="single" w:color="EAB308" w:sz="24" w:space="1"/>
        </w:pBdr>
        <w:shd w:fill="FEF9C3" w:val="clear"/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Preserved from xlsx v3.3. Uses g-price figures from the old manual. Since
s = g is assumed for simple quotes, GM%/VA%/CONTR% still match. On real quotes
where s ≠ g, expect small differences from the old manual.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Troubleshooting Guide</w:t>
      </w:r>
    </w:p>
    <w:p>
      <w:pPr>
        <w:shd w:fill="FEE2E2" w:val="clear"/>
        <w:spacing w:after="40" w:before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#1 — VA% / GM% = −435,000% (extremely large negative)</w:t>
      </w:r>
    </w:p>
    <w:p>
      <w:pPr>
        <w:spacing w:after="10" w:before="2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Root cause: </w:t>
      </w:r>
      <w:r>
        <w:rPr>
          <w:rFonts w:ascii="Arial" w:cs="Arial" w:eastAsia="Arial" w:hAnsi="Arial"/>
          <w:sz w:val="20"/>
          <w:szCs w:val="20"/>
        </w:rPr>
        <w:t xml:space="preserve">Tool Life = 1 (instead of 200,000). Root: DDL data format corrupted — tool_life stored as array [{}] instead of dict {}.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Check ddl_sites.json. tool_life must be {"Pressplate":200000,…} NOT [{…}]. Fix: run repair_ddl_data.py then restart server.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Prevention: </w:t>
      </w:r>
      <w:r>
        <w:rPr>
          <w:rFonts w:ascii="Arial" w:cs="Arial" w:eastAsia="Arial" w:hAnsi="Arial"/>
          <w:sz w:val="20"/>
          <w:szCs w:val="20"/>
        </w:rPr>
        <w:t xml:space="preserve">Monitor ddl_sites_data.js after every DDL Excel update.</w:t>
      </w:r>
    </w:p>
    <w:p>
      <w:pPr>
        <w:shd w:fill="FEE2E2" w:val="clear"/>
        <w:spacing w:after="40" w:before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#2 — G.TOTAL ×250,000 too high (MOQ not entered)</w:t>
      </w:r>
    </w:p>
    <w:p>
      <w:pPr>
        <w:spacing w:after="10" w:before="2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Root cause: </w:t>
      </w:r>
      <w:r>
        <w:rPr>
          <w:rFonts w:ascii="Arial" w:cs="Arial" w:eastAsia="Arial" w:hAnsi="Arial"/>
          <w:sz w:val="20"/>
          <w:szCs w:val="20"/>
        </w:rPr>
        <w:t xml:space="preserve">MOQ=0 → Setup Cost ÷ annual_qty or 1 → entire setup allocated to 1 unit.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ALWAYS enter MOQ &gt; 0 before Calculate. System guard exists but manual entry required.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Prevention: </w:t>
      </w:r>
      <w:r>
        <w:rPr>
          <w:rFonts w:ascii="Arial" w:cs="Arial" w:eastAsia="Arial" w:hAnsi="Arial"/>
          <w:sz w:val="20"/>
          <w:szCs w:val="20"/>
        </w:rPr>
        <w:t xml:space="preserve">Default MOQ = 250,000. Never reset to 0 in templates.</w:t>
      </w:r>
    </w:p>
    <w:p>
      <w:pPr>
        <w:shd w:fill="FEE2E2" w:val="clear"/>
        <w:spacing w:after="40" w:before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[CRITICAL]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#3 — Tooling cost unreasonably high (&gt; 5% of total)</w:t>
      </w:r>
    </w:p>
    <w:p>
      <w:pPr>
        <w:spacing w:after="10" w:before="2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Root cause: </w:t>
      </w:r>
      <w:r>
        <w:rPr>
          <w:rFonts w:ascii="Arial" w:cs="Arial" w:eastAsia="Arial" w:hAnsi="Arial"/>
          <w:sz w:val="20"/>
          <w:szCs w:val="20"/>
        </w:rPr>
        <w:t xml:space="preserve">Tool Life fallback = 1 — tool_type not selected, or DDL corrupted.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Select correct tool_type from dropdown. Verify Tool Life display ≥ 20,000.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Prevention: </w:t>
      </w:r>
      <w:r>
        <w:rPr>
          <w:rFonts w:ascii="Arial" w:cs="Arial" w:eastAsia="Arial" w:hAnsi="Arial"/>
          <w:sz w:val="20"/>
          <w:szCs w:val="20"/>
        </w:rPr>
        <w:t xml:space="preserve">Always select tool_type. Verify displayed tool life &gt; 1,000.</w:t>
      </w:r>
    </w:p>
    <w:p>
      <w:pPr>
        <w:shd w:fill="FEF3C7" w:val="clear"/>
        <w:spacing w:after="40" w:before="120"/>
      </w:pPr>
      <w:r>
        <w:rPr>
          <w:rFonts w:ascii="Arial" w:cs="Arial" w:eastAsia="Arial" w:hAnsi="Arial"/>
          <w:b/>
          <w:bCs/>
          <w:color w:val="EAB308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#4 — Material cost = $0 (even after selecting material)</w:t>
      </w:r>
    </w:p>
    <w:p>
      <w:pPr>
        <w:spacing w:after="10" w:before="2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Root cause: </w:t>
      </w:r>
      <w:r>
        <w:rPr>
          <w:rFonts w:ascii="Arial" w:cs="Arial" w:eastAsia="Arial" w:hAnsi="Arial"/>
          <w:sz w:val="20"/>
          <w:szCs w:val="20"/>
        </w:rPr>
        <w:t xml:space="preserve">Width = 0 or Price = 0. Pitch = 0 (sheet_length missing). QPA_LM = 0.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Verify Width &gt; 0, sheet_length + min_gap &gt; 0 → Pitch &gt; 0, S + G price &gt; 0.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Prevention: </w:t>
      </w:r>
      <w:r>
        <w:rPr>
          <w:rFonts w:ascii="Arial" w:cs="Arial" w:eastAsia="Arial" w:hAnsi="Arial"/>
          <w:sz w:val="20"/>
          <w:szCs w:val="20"/>
        </w:rPr>
        <w:t xml:space="preserve">Check QPA and Pitch display after selecting material code.</w:t>
      </w:r>
    </w:p>
    <w:p>
      <w:pPr>
        <w:shd w:fill="FEF3C7" w:val="clear"/>
        <w:spacing w:after="40" w:before="120"/>
      </w:pPr>
      <w:r>
        <w:rPr>
          <w:rFonts w:ascii="Arial" w:cs="Arial" w:eastAsia="Arial" w:hAnsi="Arial"/>
          <w:b/>
          <w:bCs/>
          <w:color w:val="EAB308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#5 — UPH = 0 → Machine / Labor cost = $0</w:t>
      </w:r>
    </w:p>
    <w:p>
      <w:pPr>
        <w:spacing w:after="10" w:before="2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Root cause: </w:t>
      </w:r>
      <w:r>
        <w:rPr>
          <w:rFonts w:ascii="Arial" w:cs="Arial" w:eastAsia="Arial" w:hAnsi="Arial"/>
          <w:sz w:val="20"/>
          <w:szCs w:val="20"/>
        </w:rPr>
        <w:t xml:space="preserve">Speed = 0, Efficiency = 0, or Speed UOM mismatch.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Enter Speed &gt; 0. Default efficiency 0.85. Verify UOM in rate table.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Prevention: </w:t>
      </w:r>
      <w:r>
        <w:rPr>
          <w:rFonts w:ascii="Arial" w:cs="Arial" w:eastAsia="Arial" w:hAnsi="Arial"/>
          <w:sz w:val="20"/>
          <w:szCs w:val="20"/>
        </w:rPr>
        <w:t xml:space="preserve">Confirm UPH display after entering speed.</w:t>
      </w:r>
    </w:p>
    <w:p>
      <w:pPr>
        <w:shd w:fill="FEF3C7" w:val="clear"/>
        <w:spacing w:after="40" w:before="120"/>
      </w:pPr>
      <w:r>
        <w:rPr>
          <w:rFonts w:ascii="Arial" w:cs="Arial" w:eastAsia="Arial" w:hAnsi="Arial"/>
          <w:b/>
          <w:bCs/>
          <w:color w:val="EAB308"/>
          <w:sz w:val="22"/>
          <w:szCs w:val="22"/>
        </w:rPr>
        <w:t xml:space="preserve">[MEDIUM]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#6 — Unexpected VAT Loss appears</w:t>
      </w:r>
    </w:p>
    <w:p>
      <w:pPr>
        <w:spacing w:after="10" w:before="2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Root cause: </w:t>
      </w:r>
      <w:r>
        <w:rPr>
          <w:rFonts w:ascii="Arial" w:cs="Arial" w:eastAsia="Arial" w:hAnsi="Arial"/>
          <w:sz w:val="20"/>
          <w:szCs w:val="20"/>
        </w:rPr>
        <w:t xml:space="preserve">Trade Mode = USD(Book). Only for goods not reclaiming input VAT.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Change to USD(Normal) if product is exported or VAT is reclaimable.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Prevention: </w:t>
      </w:r>
      <w:r>
        <w:rPr>
          <w:rFonts w:ascii="Arial" w:cs="Arial" w:eastAsia="Arial" w:hAnsi="Arial"/>
          <w:sz w:val="20"/>
          <w:szCs w:val="20"/>
        </w:rPr>
        <w:t xml:space="preserve">Confirm Trade Mode with Finance before finalizing.</w:t>
      </w:r>
    </w:p>
    <w:p>
      <w:pPr>
        <w:shd w:fill="DCFCE7" w:val="clear"/>
        <w:spacing w:after="40" w:before="1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[MINOR]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#7 — VA% / GM% / CONTR% = N/A</w:t>
      </w:r>
    </w:p>
    <w:p>
      <w:pPr>
        <w:spacing w:after="10" w:before="2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Root cause: </w:t>
      </w:r>
      <w:r>
        <w:rPr>
          <w:rFonts w:ascii="Arial" w:cs="Arial" w:eastAsia="Arial" w:hAnsi="Arial"/>
          <w:sz w:val="20"/>
          <w:szCs w:val="20"/>
        </w:rPr>
        <w:t xml:space="preserve">Selling Price = 0 or SP not entered.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Enter Selling Price &gt; 0 in Header tab.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Prevention: </w:t>
      </w:r>
      <w:r>
        <w:rPr>
          <w:rFonts w:ascii="Arial" w:cs="Arial" w:eastAsia="Arial" w:hAnsi="Arial"/>
          <w:sz w:val="20"/>
          <w:szCs w:val="20"/>
        </w:rPr>
        <w:t xml:space="preserve">Default SP = 0.20. Enter immediately when opening.</w:t>
      </w:r>
    </w:p>
    <w:p>
      <w:pPr>
        <w:shd w:fill="DCFCE7" w:val="clear"/>
        <w:spacing w:after="40" w:before="1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[MINOR]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#8 — Ink cost = $0 (after entering ink color)</w:t>
      </w:r>
    </w:p>
    <w:p>
      <w:pPr>
        <w:spacing w:after="10" w:before="2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Root cause: </w:t>
      </w:r>
      <w:r>
        <w:rPr>
          <w:rFonts w:ascii="Arial" w:cs="Arial" w:eastAsia="Arial" w:hAnsi="Arial"/>
          <w:sz w:val="20"/>
          <w:szCs w:val="20"/>
        </w:rPr>
        <w:t xml:space="preserve">Print Type blank. Area% = 0. Coverage = 0 for non-Indigo.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Select Print Type. Enter Area% &gt; 0 (fraction of surface printed).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Prevention: </w:t>
      </w:r>
      <w:r>
        <w:rPr>
          <w:rFonts w:ascii="Arial" w:cs="Arial" w:eastAsia="Arial" w:hAnsi="Arial"/>
          <w:sz w:val="20"/>
          <w:szCs w:val="20"/>
        </w:rPr>
        <w:t xml:space="preserve">Check Area% &gt; 0 for all active ink rows.</w:t>
      </w:r>
    </w:p>
    <w:p>
      <w:pPr>
        <w:shd w:fill="DCFCE7" w:val="clear"/>
        <w:spacing w:after="40" w:before="1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[MINOR]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#9 — Quote saved but not visible in History</w:t>
      </w:r>
    </w:p>
    <w:p>
      <w:pPr>
        <w:spacing w:after="10" w:before="2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Root cause: </w:t>
      </w:r>
      <w:r>
        <w:rPr>
          <w:rFonts w:ascii="Arial" w:cs="Arial" w:eastAsia="Arial" w:hAnsi="Arial"/>
          <w:sz w:val="20"/>
          <w:szCs w:val="20"/>
        </w:rPr>
        <w:t xml:space="preserve">Server not running or quotes.json corrupted (offline mode).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Verify server port 8765. Check server.py logs. Validate quotes.json.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Prevention: </w:t>
      </w:r>
      <w:r>
        <w:rPr>
          <w:rFonts w:ascii="Arial" w:cs="Arial" w:eastAsia="Arial" w:hAnsi="Arial"/>
          <w:sz w:val="20"/>
          <w:szCs w:val="20"/>
        </w:rPr>
        <w:t xml:space="preserve">Check server status before saving quotes.</w:t>
      </w:r>
    </w:p>
    <w:p>
      <w:pPr>
        <w:shd w:fill="DBEAFE" w:val="clear"/>
        <w:spacing w:after="40" w:before="12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[INFO]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#10 — GM% different when reloading quote from History</w:t>
      </w:r>
    </w:p>
    <w:p>
      <w:pPr>
        <w:spacing w:after="10" w:before="2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Root cause: </w:t>
      </w:r>
      <w:r>
        <w:rPr>
          <w:rFonts w:ascii="Arial" w:cs="Arial" w:eastAsia="Arial" w:hAnsi="Arial"/>
          <w:sz w:val="20"/>
          <w:szCs w:val="20"/>
        </w:rPr>
        <w:t xml:space="preserve">DDL rates updated since save (machine rates, tool life).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Fix: </w:t>
      </w:r>
      <w:r>
        <w:rPr>
          <w:rFonts w:ascii="Arial" w:cs="Arial" w:eastAsia="Arial" w:hAnsi="Arial"/>
          <w:sz w:val="20"/>
          <w:szCs w:val="20"/>
        </w:rPr>
        <w:t xml:space="preserve">Expected — calculator always uses current DDL. Use 🔒 override to freeze if needed.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Prevention: </w:t>
      </w:r>
      <w:r>
        <w:rPr>
          <w:rFonts w:ascii="Arial" w:cs="Arial" w:eastAsia="Arial" w:hAnsi="Arial"/>
          <w:sz w:val="20"/>
          <w:szCs w:val="20"/>
        </w:rPr>
        <w:t xml:space="preserve">Note key rates/tool life in Description when saving.</w:t>
      </w:r>
    </w:p>
    <w:p>
      <w:pPr>
        <w:spacing w:after="20" w:before="40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— End of Formula Reference · Hết tài liệu tham chiếu —</w:t>
      </w:r>
    </w:p>
    <w:p>
      <w:pPr>
        <w:spacing w:after="20"/>
        <w:jc w:val="center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Source of truth: client/src/services/calcEngine.js · Audit date: 2026-04-29 · 14 corrections applied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If you find any discrepancy between this Legend and actual engine behavior, the engine wins. File an issue and we will fix the Legend — not the engine.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Ops Control · Pricing Worksheet Legend · CCL Design Vietnam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40A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Worksheet (Standard) — Legend</dc:title>
  <dc:creator>CCL Design Vietnam · Ops Control</dc:creator>
  <dc:description>Formula reference for the Standard Pricing Worksheet. Verified against calcEngine.js.</dc:description>
  <cp:lastModifiedBy>Un-named</cp:lastModifiedBy>
  <cp:revision>1</cp:revision>
  <dcterms:created xsi:type="dcterms:W3CDTF">2026-04-29T15:53:41.065Z</dcterms:created>
  <dcterms:modified xsi:type="dcterms:W3CDTF">2026-04-29T15:53:41.065Z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