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uide-dutilisation-administrateur"/>
    <w:p>
      <w:pPr>
        <w:pStyle w:val="Heading1"/>
      </w:pPr>
      <w:r>
        <w:t xml:space="preserve">Guide d’utilisation — Administrateur</w:t>
      </w:r>
    </w:p>
    <w:bookmarkStart w:id="11" w:name="ajouter-un-nouveau-client"/>
    <w:p>
      <w:pPr>
        <w:pStyle w:val="Heading2"/>
      </w:pPr>
      <w:r>
        <w:t xml:space="preserve">1. Ajouter un nouveau client</w:t>
      </w:r>
    </w:p>
    <w:bookmarkStart w:id="9" w:name="étape-1-ouvrir-le-formulaire-dajout"/>
    <w:p>
      <w:pPr>
        <w:pStyle w:val="Heading3"/>
      </w:pPr>
      <w:r>
        <w:t xml:space="preserve">Étape 1 — Ouvrir le formulaire d’ajout</w:t>
      </w:r>
    </w:p>
    <w:p>
      <w:pPr>
        <w:pStyle w:val="FirstParagraph"/>
      </w:pPr>
      <w:r>
        <w:t xml:space="preserve">Depuis le dashboard, cliquer sur le sélecteur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dans la barre de navigation supérieure, puis sélectionner</w:t>
      </w:r>
      <w:r>
        <w:t xml:space="preserve"> </w:t>
      </w:r>
      <w:r>
        <w:rPr>
          <w:b/>
          <w:bCs/>
        </w:rPr>
        <w:t xml:space="preserve">+ Ajout d’un nouveau client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Sélecteur client</w:t>
            </w:r>
          </w:p>
        </w:tc>
      </w:tr>
    </w:tbl>
    <w:p>
      <w:pPr>
        <w:pStyle w:val="ImageCaption"/>
      </w:pPr>
      <w:r>
        <w:t xml:space="preserve">Sélecteur client</w:t>
      </w:r>
    </w:p>
    <w:p>
      <w:pPr>
        <w:pStyle w:val="BodyText"/>
      </w:pPr>
      <w:r>
        <w:t xml:space="preserve">Un formulaire</w:t>
      </w:r>
      <w:r>
        <w:t xml:space="preserve"> </w:t>
      </w:r>
      <w:r>
        <w:rPr>
          <w:b/>
          <w:bCs/>
        </w:rPr>
        <w:t xml:space="preserve">New customer setup</w:t>
      </w:r>
      <w:r>
        <w:t xml:space="preserve"> </w:t>
      </w:r>
      <w:r>
        <w:t xml:space="preserve">s’ouvre dans un nouvel onglet (Tally).</w:t>
      </w:r>
    </w:p>
    <w:p>
      <w:r>
        <w:pict>
          <v:rect style="width:0;height:1.5pt" o:hralign="center" o:hrstd="t" o:hr="t"/>
        </w:pict>
      </w:r>
    </w:p>
    <w:bookmarkEnd w:id="9"/>
    <w:bookmarkStart w:id="10" w:name="étape-2-remplir-le-formulaire"/>
    <w:p>
      <w:pPr>
        <w:pStyle w:val="Heading3"/>
      </w:pPr>
      <w:r>
        <w:t xml:space="preserve">Étape 2 — Remplir le formulaire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Formulaire new customer</w:t>
            </w:r>
          </w:p>
        </w:tc>
      </w:tr>
    </w:tbl>
    <w:p>
      <w:pPr>
        <w:pStyle w:val="ImageCaption"/>
      </w:pPr>
      <w:r>
        <w:t xml:space="preserve">Formulaire new customer</w:t>
      </w:r>
    </w:p>
    <w:p>
      <w:pPr>
        <w:pStyle w:val="BodyText"/>
      </w:pPr>
      <w:r>
        <w:t xml:space="preserve">Renseigner les champs suivants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du client</w:t>
            </w:r>
          </w:p>
        </w:tc>
        <w:tc>
          <w:tcPr/>
          <w:p>
            <w:pPr>
              <w:pStyle w:val="Compact"/>
            </w:pPr>
            <w:r>
              <w:t xml:space="preserve">Nom tel qu’il apparaîtra dans le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 URL</w:t>
            </w:r>
          </w:p>
        </w:tc>
        <w:tc>
          <w:tcPr/>
          <w:p>
            <w:pPr>
              <w:pStyle w:val="Compact"/>
            </w:pPr>
            <w:r>
              <w:t xml:space="preserve">Chemin vers le logo (ex.</w:t>
            </w:r>
            <w:r>
              <w:t xml:space="preserve"> </w:t>
            </w:r>
            <w:r>
              <w:rPr>
                <w:rStyle w:val="VerbatimChar"/>
              </w:rPr>
              <w:t xml:space="preserve">/logos/nom-client.webp</w:t>
            </w:r>
            <w:r>
              <w:t xml:space="preserve">) — voir note ci-dessous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GSC / GA4 / GADS / Meta / LinkedIn / e-Commerce</w:t>
            </w:r>
          </w:p>
        </w:tc>
        <w:tc>
          <w:tcPr/>
          <w:p>
            <w:pPr>
              <w:pStyle w:val="Compact"/>
            </w:pPr>
            <w:r>
              <w:t xml:space="preserve">Activer les plateformes utilisées par ce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du site pour GSC</w:t>
            </w:r>
          </w:p>
        </w:tc>
        <w:tc>
          <w:tcPr/>
          <w:p>
            <w:pPr>
              <w:pStyle w:val="Compact"/>
            </w:pPr>
            <w:r>
              <w:t xml:space="preserve">URL complète du site (ex.</w:t>
            </w:r>
            <w:r>
              <w:t xml:space="preserve"> </w:t>
            </w:r>
            <w:r>
              <w:rPr>
                <w:rStyle w:val="VerbatimChar"/>
              </w:rPr>
              <w:t xml:space="preserve">https://example.com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GA4 ID</w:t>
            </w:r>
          </w:p>
        </w:tc>
        <w:tc>
          <w:tcPr/>
          <w:p>
            <w:pPr>
              <w:pStyle w:val="Compact"/>
            </w:pPr>
            <w:r>
              <w:t xml:space="preserve">Property ID Google Analytics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Ads customer ID</w:t>
            </w:r>
          </w:p>
        </w:tc>
        <w:tc>
          <w:tcPr/>
          <w:p>
            <w:pPr>
              <w:pStyle w:val="Compact"/>
            </w:pPr>
            <w:r>
              <w:t xml:space="preserve">ID client Google Ads (format</w:t>
            </w:r>
            <w:r>
              <w:t xml:space="preserve"> </w:t>
            </w:r>
            <w:r>
              <w:rPr>
                <w:rStyle w:val="VerbatimChar"/>
              </w:rPr>
              <w:t xml:space="preserve">xxx-xxx-xxxx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ID</w:t>
            </w:r>
          </w:p>
        </w:tc>
        <w:tc>
          <w:tcPr/>
          <w:p>
            <w:pPr>
              <w:pStyle w:val="Compact"/>
            </w:pPr>
            <w:r>
              <w:t xml:space="preserve">ID du compte publicitaire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ID</w:t>
            </w:r>
          </w:p>
        </w:tc>
        <w:tc>
          <w:tcPr/>
          <w:p>
            <w:pPr>
              <w:pStyle w:val="Compact"/>
            </w:pPr>
            <w:r>
              <w:t xml:space="preserve">ID de la page LinkedIn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Description de la stratégie du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 / LinkedIn CPA target</w:t>
            </w:r>
          </w:p>
        </w:tc>
        <w:tc>
          <w:tcPr/>
          <w:p>
            <w:pPr>
              <w:pStyle w:val="Compact"/>
            </w:pPr>
            <w:r>
              <w:t xml:space="preserve">Objectifs CPA par plateforme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Logo</w:t>
      </w:r>
      <w:r>
        <w:t xml:space="preserve"> </w:t>
      </w:r>
      <w:r>
        <w:t xml:space="preserve">: placer le fichier image dans le dossier</w:t>
      </w:r>
      <w:r>
        <w:t xml:space="preserve"> </w:t>
      </w:r>
      <w:r>
        <w:rPr>
          <w:rStyle w:val="VerbatimChar"/>
        </w:rPr>
        <w:t xml:space="preserve">public/logos/</w:t>
      </w:r>
      <w:r>
        <w:t xml:space="preserve"> </w:t>
      </w:r>
      <w:r>
        <w:t xml:space="preserve">du projet (ex.</w:t>
      </w:r>
      <w:r>
        <w:t xml:space="preserve"> </w:t>
      </w:r>
      <w:r>
        <w:rPr>
          <w:rStyle w:val="VerbatimChar"/>
        </w:rPr>
        <w:t xml:space="preserve">public/logos/nom-client.webp</w:t>
      </w:r>
      <w:r>
        <w:t xml:space="preserve">), puis indiquer le chemin</w:t>
      </w:r>
      <w:r>
        <w:t xml:space="preserve"> </w:t>
      </w:r>
      <w:r>
        <w:rPr>
          <w:rStyle w:val="VerbatimChar"/>
        </w:rPr>
        <w:t xml:space="preserve">/logos/nom-client.webp</w:t>
      </w:r>
      <w:r>
        <w:t xml:space="preserve"> </w:t>
      </w:r>
      <w:r>
        <w:t xml:space="preserve">dans le champ Logo URL. Pusher le fichier sur GitHub pour qu’il apparaisse en production.</w:t>
      </w:r>
    </w:p>
    <w:p>
      <w:pPr>
        <w:pStyle w:val="FirstParagraph"/>
      </w:pPr>
      <w:r>
        <w:t xml:space="preserve">Cliquer sur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pour valider. Le client est automatiquement ajouté à la table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dans Supabase et apparaît dans le sélecteur du dashboard.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inviter-un-client-à-créer-son-accès"/>
    <w:p>
      <w:pPr>
        <w:pStyle w:val="Heading2"/>
      </w:pPr>
      <w:r>
        <w:t xml:space="preserve">2. Inviter un client à créer son accès</w:t>
      </w:r>
    </w:p>
    <w:bookmarkStart w:id="12" w:name="étape-1-accéder-aux-paramètres-généraux"/>
    <w:p>
      <w:pPr>
        <w:pStyle w:val="Heading3"/>
      </w:pPr>
      <w:r>
        <w:t xml:space="preserve">Étape 1 — Accéder aux Paramètres généraux</w:t>
      </w:r>
    </w:p>
    <w:p>
      <w:pPr>
        <w:pStyle w:val="FirstParagraph"/>
      </w:pPr>
      <w:r>
        <w:t xml:space="preserve">Dans la barre de navigation latérale, cliquer sur</w:t>
      </w:r>
      <w:r>
        <w:t xml:space="preserve"> </w:t>
      </w:r>
      <w:r>
        <w:rPr>
          <w:b/>
          <w:bCs/>
        </w:rPr>
        <w:t xml:space="preserve">Paramètres généraux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Paramètres généraux</w:t>
            </w:r>
          </w:p>
        </w:tc>
      </w:tr>
    </w:tbl>
    <w:p>
      <w:pPr>
        <w:pStyle w:val="ImageCaption"/>
      </w:pPr>
      <w:r>
        <w:t xml:space="preserve">Paramètres généraux</w:t>
      </w:r>
    </w:p>
    <w:p>
      <w:r>
        <w:pict>
          <v:rect style="width:0;height:1.5pt" o:hralign="center" o:hrstd="t" o:hr="t"/>
        </w:pict>
      </w:r>
    </w:p>
    <w:bookmarkEnd w:id="12"/>
    <w:bookmarkStart w:id="13" w:name="étape-2-envoyer-linvitation"/>
    <w:p>
      <w:pPr>
        <w:pStyle w:val="Heading3"/>
      </w:pPr>
      <w:r>
        <w:t xml:space="preserve">Étape 2 — Envoyer l’invitation</w:t>
      </w:r>
    </w:p>
    <w:p>
      <w:pPr>
        <w:pStyle w:val="Compact"/>
        <w:numPr>
          <w:ilvl w:val="0"/>
          <w:numId w:val="1001"/>
        </w:numPr>
      </w:pPr>
      <w:r>
        <w:t xml:space="preserve">Saisir l’</w:t>
      </w:r>
      <w:r>
        <w:rPr>
          <w:b/>
          <w:bCs/>
        </w:rPr>
        <w:t xml:space="preserve">adresse e-mail</w:t>
      </w:r>
      <w:r>
        <w:t xml:space="preserve"> </w:t>
      </w:r>
      <w:r>
        <w:t xml:space="preserve">du client dans le champ prévu</w:t>
      </w:r>
    </w:p>
    <w:p>
      <w:pPr>
        <w:pStyle w:val="Compact"/>
        <w:numPr>
          <w:ilvl w:val="0"/>
          <w:numId w:val="1001"/>
        </w:numPr>
      </w:pPr>
      <w:r>
        <w:t xml:space="preserve">Sélectionner le</w:t>
      </w:r>
      <w:r>
        <w:t xml:space="preserve"> </w:t>
      </w:r>
      <w:r>
        <w:rPr>
          <w:b/>
          <w:bCs/>
        </w:rPr>
        <w:t xml:space="preserve">client associé</w:t>
      </w:r>
      <w:r>
        <w:t xml:space="preserve"> </w:t>
      </w:r>
      <w:r>
        <w:t xml:space="preserve">dans le menu déroulant (le compte sera automatiquement lié à ce client)</w:t>
      </w:r>
    </w:p>
    <w:p>
      <w:pPr>
        <w:pStyle w:val="Compact"/>
        <w:numPr>
          <w:ilvl w:val="0"/>
          <w:numId w:val="1001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Envoyer l’invitation</w:t>
      </w:r>
    </w:p>
    <w:p>
      <w:pPr>
        <w:pStyle w:val="FirstParagraph"/>
      </w:pPr>
      <w:r>
        <w:t xml:space="preserve">Le message</w:t>
      </w:r>
      <w:r>
        <w:t xml:space="preserve"> </w:t>
      </w:r>
      <w:r>
        <w:rPr>
          <w:b/>
          <w:bCs/>
        </w:rPr>
        <w:t xml:space="preserve">Invitation envoyée avec succès</w:t>
      </w:r>
      <w:r>
        <w:t xml:space="preserve"> </w:t>
      </w:r>
      <w:r>
        <w:t xml:space="preserve">confirme l’envoi.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utiliser une adresse e-mail qui n’existe pas encore dans le système. Envoyer une invitation à une adresse déjà enregistrée retournera une erreur.</w:t>
      </w:r>
    </w:p>
    <w:p>
      <w:r>
        <w:pict>
          <v:rect style="width:0;height:1.5pt" o:hralign="center" o:hrstd="t" o:hr="t"/>
        </w:pict>
      </w:r>
    </w:p>
    <w:bookmarkEnd w:id="13"/>
    <w:bookmarkStart w:id="14" w:name="étape-3-le-client-reçoit-le-mail"/>
    <w:p>
      <w:pPr>
        <w:pStyle w:val="Heading3"/>
      </w:pPr>
      <w:r>
        <w:t xml:space="preserve">Étape 3 — Le client reçoit l’e-mail</w:t>
      </w:r>
    </w:p>
    <w:p>
      <w:pPr>
        <w:pStyle w:val="FirstParagraph"/>
      </w:pPr>
      <w:r>
        <w:t xml:space="preserve">Le client reçoit un e-mail de l’Agence BB Switzerland 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Email d’invitation</w:t>
            </w:r>
          </w:p>
        </w:tc>
      </w:tr>
    </w:tbl>
    <w:p>
      <w:pPr>
        <w:pStyle w:val="ImageCaption"/>
      </w:pPr>
      <w:r>
        <w:t xml:space="preserve">Email d’invitation</w:t>
      </w:r>
    </w:p>
    <w:p>
      <w:pPr>
        <w:pStyle w:val="BodyText"/>
      </w:pPr>
      <w:r>
        <w:t xml:space="preserve">Il clique sur</w:t>
      </w:r>
      <w:r>
        <w:t xml:space="preserve"> </w:t>
      </w:r>
      <w:r>
        <w:rPr>
          <w:b/>
          <w:bCs/>
        </w:rPr>
        <w:t xml:space="preserve">Créer mon mot de passe</w:t>
      </w:r>
      <w:r>
        <w:t xml:space="preserve"> </w:t>
      </w:r>
      <w:r>
        <w:t xml:space="preserve">et est redirigé vers une page de création de mot de passe.</w:t>
      </w:r>
    </w:p>
    <w:p>
      <w:r>
        <w:pict>
          <v:rect style="width:0;height:1.5pt" o:hralign="center" o:hrstd="t" o:hr="t"/>
        </w:pict>
      </w:r>
    </w:p>
    <w:bookmarkEnd w:id="14"/>
    <w:bookmarkStart w:id="15" w:name="étape-4-création-du-mot-de-passe"/>
    <w:p>
      <w:pPr>
        <w:pStyle w:val="Heading3"/>
      </w:pPr>
      <w:r>
        <w:t xml:space="preserve">Étape 4 — Création du mot de passe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le client doit effectuer cette étape dans une session de navigateur</w:t>
      </w:r>
      <w:r>
        <w:t xml:space="preserve"> </w:t>
      </w:r>
      <w:r>
        <w:rPr>
          <w:b/>
          <w:bCs/>
        </w:rPr>
        <w:t xml:space="preserve">déconnectée</w:t>
      </w:r>
      <w:r>
        <w:t xml:space="preserve"> </w:t>
      </w:r>
      <w:r>
        <w:t xml:space="preserve">(sans être connecté en tant qu’admin). Recommander l’utilisation d’un navigateur différent ou d’une fenêtre de navigation privée.</w:t>
      </w:r>
    </w:p>
    <w:p>
      <w:pPr>
        <w:pStyle w:val="FirstParagraph"/>
      </w:pPr>
      <w:r>
        <w:t xml:space="preserve">Le client saisit et confirme son mot de passe (minimum 8 caractères), puis est automatiquement redirigé vers le dashboard.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ccès-client-vs-accès-admin"/>
    <w:p>
      <w:pPr>
        <w:pStyle w:val="Heading2"/>
      </w:pPr>
      <w:r>
        <w:t xml:space="preserve">Accès client vs accès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(agency)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Voir tous les 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Voir son propre client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l’analyse globale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 client (toggles)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 généraux (invitations)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Exporter 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2026-04-30T06:58:50Z</dcterms:created>
  <dcterms:modified xsi:type="dcterms:W3CDTF">2026-04-30T06:58:50Z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