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A5F"/>
          <w:sz w:val="56"/>
          <w:szCs w:val="56"/>
        </w:rPr>
        <w:t xml:space="preserve">Plateforme ALTERRA</w:t>
      </w:r>
    </w:p>
    <w:p>
      <w:pPr>
        <w:spacing w:after="480"/>
        <w:jc w:val="center"/>
      </w:pPr>
      <w:r>
        <w:rPr>
          <w:b/>
          <w:bCs/>
          <w:color w:val="F5B400"/>
          <w:sz w:val="36"/>
          <w:szCs w:val="36"/>
        </w:rPr>
        <w:t xml:space="preserve">Variante technique — Stack souveraine &amp; offline-first</w:t>
      </w:r>
    </w:p>
    <w:p>
      <w:pPr>
        <w:spacing w:after="200"/>
        <w:jc w:val="center"/>
      </w:pPr>
      <w:r>
        <w:rPr>
          <w:i/>
          <w:iCs/>
          <w:color w:val="595959"/>
          <w:sz w:val="24"/>
          <w:szCs w:val="24"/>
        </w:rPr>
        <w:t xml:space="preserve">Proposition alternative à la stack Airtable + Jotform</w:t>
      </w:r>
    </w:p>
    <w:p>
      <w:pPr>
        <w:spacing w:before="1200"/>
        <w:jc w:val="center"/>
      </w:pPr>
      <w:r>
        <w:rPr>
          <w:color w:val="595959"/>
          <w:sz w:val="20"/>
          <w:szCs w:val="20"/>
        </w:rPr>
        <w:t xml:space="preserve">Document de travail interne</w:t>
      </w:r>
    </w:p>
    <w:p>
      <w:pPr>
        <w:spacing w:after="60"/>
        <w:jc w:val="center"/>
      </w:pPr>
      <w:r>
        <w:rPr>
          <w:color w:val="595959"/>
          <w:sz w:val="20"/>
          <w:szCs w:val="20"/>
        </w:rPr>
        <w:t xml:space="preserve">Préparé pour : Thierry — NextA</w:t>
      </w:r>
    </w:p>
    <w:p>
      <w:pPr>
        <w:jc w:val="center"/>
      </w:pPr>
      <w:r>
        <w:rPr>
          <w:color w:val="595959"/>
          <w:sz w:val="20"/>
          <w:szCs w:val="20"/>
        </w:rPr>
        <w:t xml:space="preserve">Date : 28 avril 2026</w:t>
      </w:r>
    </w:p>
    <w:p>
      <w:r>
        <w:br w:type="page"/>
      </w:r>
    </w:p>
    <w:p>
      <w:pPr>
        <w:pStyle w:val="Heading1"/>
        <w:spacing w:after="200" w:before="360"/>
      </w:pPr>
      <w:r>
        <w:t xml:space="preserve">1. Synthèse exécutive</w:t>
      </w:r>
    </w:p>
    <w:p>
      <w:pPr>
        <w:spacing w:after="120"/>
      </w:pPr>
      <w:r>
        <w:t xml:space="preserve">Ce document propose une variante technique à la proposition initiale ALTERRA (Airtable + Jotform). L'objectif n'est pas de la disqualifier, mais d'offrir une alternative qui adresse trois faiblesses identifiées : la robustesse réelle du mode hors ligne pour le Chef de Site, l'intégration native du paiement MVola, et la maîtrise du coût total à mesure que le nombre de travailleurs et de sites augmente.</w:t>
      </w:r>
    </w:p>
    <w:p>
      <w:pPr>
        <w:spacing w:after="120"/>
      </w:pPr>
      <w:r>
        <w:t xml:space="preserve">La variante repose sur une stack mixte open-source et services managés : ODK Collect / ODK Central pour la collecte terrain, Supabase (PostgreSQL managé) pour la base de données, une PWA Next.js pour l'interface Chef de Site et Administrateur, Metabase pour les tableaux de bord, et un microservice Node.js pour l'intégration MVola.</w:t>
      </w:r>
    </w:p>
    <w:p>
      <w:pPr>
        <w:spacing w:after="120"/>
      </w:pPr>
      <w:r>
        <w:t xml:space="preserve">Cette variante est plus exigeante en compétences techniques en phase de mise en place (3 semaines de plus en initial), mais offre une indépendance totale sur les données, un coût marginal proche de zéro à l'échelle, et une véritable robustesse offline-first attestée par dix ans d'usage par les ONG humanitaires à Madagascar et en Afrique de l'Est.</w:t>
      </w:r>
    </w:p>
    <w:p>
      <w:pPr>
        <w:pStyle w:val="Heading1"/>
        <w:spacing w:after="200" w:before="360"/>
      </w:pPr>
      <w:r>
        <w:t xml:space="preserve">2. Constats sur la proposition initiale</w:t>
      </w:r>
    </w:p>
    <w:p>
      <w:pPr>
        <w:spacing w:after="120"/>
      </w:pPr>
      <w:r>
        <w:t xml:space="preserve">La proposition NextA est cohérente, rapide à déployer et adaptée à un pilote. Toutefois, à la lecture attentive du document, trois zones méritent d'être renforcées si ALTERRA vise un déploiement durable et à grande échelle.</w:t>
      </w:r>
    </w:p>
    <w:p>
      <w:pPr>
        <w:pStyle w:val="Heading2"/>
        <w:spacing w:after="140" w:before="240"/>
      </w:pPr>
      <w:r>
        <w:t xml:space="preserve">2.1 Mode hors ligne du Chef de Site</w:t>
      </w:r>
    </w:p>
    <w:p>
      <w:pPr>
        <w:spacing w:after="120"/>
      </w:pPr>
      <w:r>
        <w:t xml:space="preserve">Le document annonce un fonctionnement hors ligne pour l'Agent Terrain (Jotform Mobile) ET pour le Chef de Site. Or Airtable n'offre pas de mode offline natif robuste sur mobile : l'application mobile permet une consultation limitée mais pas un workflow complet de validation des pointages sans connexion. Sur des sites ALTERRA potentiellement en zone rurale, c'est un risque opérationnel majeur.</w:t>
      </w:r>
    </w:p>
    <w:p>
      <w:pPr>
        <w:pStyle w:val="Heading2"/>
        <w:spacing w:after="140" w:before="240"/>
      </w:pPr>
      <w:r>
        <w:t xml:space="preserve">2.2 Paiement MVola</w:t>
      </w:r>
    </w:p>
    <w:p>
      <w:pPr>
        <w:spacing w:after="120"/>
      </w:pPr>
      <w:r>
        <w:t xml:space="preserve">Le champ « Numéro MVola » figure dans la table Travailleurs, mais aucune intégration réelle avec l'API MVola n'est décrite. Le « paiement » se résume probablement à un changement manuel de statut. À raison de paiements hebdomadaires sur potentiellement plusieurs centaines de travailleurs, cela représente une charge administrative substantielle et un risque d'erreur élevé.</w:t>
      </w:r>
    </w:p>
    <w:p>
      <w:pPr>
        <w:pStyle w:val="Heading2"/>
        <w:spacing w:after="140" w:before="240"/>
      </w:pPr>
      <w:r>
        <w:t xml:space="preserve">2.3 Coût et souveraineté à l'échelle</w:t>
      </w:r>
    </w:p>
    <w:p>
      <w:pPr>
        <w:spacing w:after="120"/>
      </w:pPr>
      <w:r>
        <w:t xml:space="preserve">Airtable facture par utilisateur (≈ 20–45 USD/mois/éditeur en plan Team/Business) et limite le nombre de records par base (50 000 en Team, 500 000 en Business). Pour un système de pointage générant plusieurs entrées par travailleur et par jour, la limite peut être atteinte rapidement. Par ailleurs, les données personnelles (photos, situation matrimoniale, nombre d'enfants) sont stockées sur des serveurs hors juridiction malgache, ce qui peut poser un problème de conformité selon la Loi n° 2014-038 sur la protection des données personnelles.</w:t>
      </w:r>
    </w:p>
    <w:p>
      <w:pPr>
        <w:pStyle w:val="Heading1"/>
        <w:spacing w:after="200" w:before="360"/>
      </w:pPr>
      <w:r>
        <w:t xml:space="preserve">3. Variante proposée — vue d'ensemble</w:t>
      </w:r>
    </w:p>
    <w:p>
      <w:pPr>
        <w:spacing w:after="120"/>
      </w:pPr>
      <w:r>
        <w:t xml:space="preserve">La variante remplace le couple Airtable + Jotform par une architecture plus modulaire, où chaque composant est remplaçable indépendamment. Elle reste « low-code » sur la collecte terrain (ODK : pas de programmation pour les formulaires) mais introduit une PWA développée sur mesure pour l'interface Chef de Site / Admin afin de garantir un offline réel et une expérience adaptée au métier.</w:t>
      </w:r>
    </w:p>
    <w:p>
      <w:pPr>
        <w:pStyle w:val="Heading2"/>
        <w:spacing w:after="140" w:before="240"/>
      </w:pPr>
      <w:r>
        <w:t xml:space="preserve">3.1 Stack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Couche</w:t>
            </w:r>
          </w:p>
        </w:tc>
        <w:tc>
          <w:tcPr>
            <w:tcW w:type="dxa" w:w="2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Outil retenu</w:t>
            </w:r>
          </w:p>
        </w:tc>
        <w:tc>
          <w:tcPr>
            <w:tcW w:type="dxa" w:w="43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Rôle dans ALTERRA</w:t>
            </w:r>
          </w:p>
        </w:tc>
      </w:tr>
      <w:tr>
        <w:tc>
          <w:tcPr>
            <w:tcW w:type="dxa" w:w="22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Collecte terrain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ODK Collect (Android) + ODK Central (serveur)</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Saisie hors ligne des pointages, photos, signatures par l'Agent Terrain. Synchronisation chiffrée vers Central dès retour de connexion.</w:t>
            </w:r>
          </w:p>
        </w:tc>
      </w:tr>
      <w:tr>
        <w:tc>
          <w:tcPr>
            <w:tcW w:type="dxa" w:w="22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Base de données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Supabase (PostgreSQL managé)</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Source de vérité unique. Authentification, RLS (Row Level Security), API REST/GraphQL auto, Realtime, Storage pour les photos.</w:t>
            </w:r>
          </w:p>
        </w:tc>
      </w:tr>
      <w:tr>
        <w:tc>
          <w:tcPr>
            <w:tcW w:type="dxa" w:w="22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Interface Chef de Site &amp; Admin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PWA Next.js (offline-first)</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Application Web installable, fonctionnant hors ligne via Service Worker + IndexedDB. Validation pointages, vue travailleurs, supervision paiements.</w:t>
            </w:r>
          </w:p>
        </w:tc>
      </w:tr>
      <w:tr>
        <w:tc>
          <w:tcPr>
            <w:tcW w:type="dxa" w:w="22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Tableaux de bord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Metabase (cloud ou self-hosted)</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Dashboards interactifs, alertes, exports CSV/Excel/PDF, partage par lien sécurisé.</w:t>
            </w:r>
          </w:p>
        </w:tc>
      </w:tr>
      <w:tr>
        <w:tc>
          <w:tcPr>
            <w:tcW w:type="dxa" w:w="22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Paiement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Microservice Node.js + API MVola Telma</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Génération automatique des paiements hebdo, appel API MVola, réconciliation des statuts, journal d'audit.</w:t>
            </w:r>
          </w:p>
        </w:tc>
      </w:tr>
      <w:tr>
        <w:tc>
          <w:tcPr>
            <w:tcW w:type="dxa" w:w="22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Hébergement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Supabase EU + option VPS local (OVH, Telma)</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Possibilité de migrer vers un hébergement souverain malgache à terme sans réécriture (PostgreSQL standard).</w:t>
            </w:r>
          </w:p>
        </w:tc>
      </w:tr>
    </w:tbl>
    <w:p>
      <w:pPr>
        <w:spacing w:after="0"/>
      </w:pPr>
    </w:p>
    <w:p>
      <w:pPr>
        <w:pStyle w:val="Heading2"/>
        <w:spacing w:after="140" w:before="240"/>
      </w:pPr>
      <w:r>
        <w:t xml:space="preserve">3.2 Architecture logique</w:t>
      </w:r>
    </w:p>
    <w:p>
      <w:pPr>
        <w:spacing w:after="120"/>
      </w:pPr>
      <w:r>
        <w:t xml:space="preserve">Trois flux principaux structurent la solution :</w:t>
      </w:r>
    </w:p>
    <w:p>
      <w:pPr>
        <w:pStyle w:val="ListParagraph"/>
        <w:numPr>
          <w:ilvl w:val="0"/>
          <w:numId w:val="2"/>
        </w:numPr>
        <w:spacing w:after="80"/>
      </w:pPr>
      <w:r>
        <w:t xml:space="preserve">Flux Saisie : ODK Collect (mobile, offline) → ODK Central → webhook ou job de synchronisation → Supabase PostgreSQL.</w:t>
      </w:r>
    </w:p>
    <w:p>
      <w:pPr>
        <w:pStyle w:val="ListParagraph"/>
        <w:numPr>
          <w:ilvl w:val="0"/>
          <w:numId w:val="2"/>
        </w:numPr>
        <w:spacing w:after="80"/>
      </w:pPr>
      <w:r>
        <w:t xml:space="preserve">Flux Validation &amp; Supervision : PWA (Chef de Site / Admin) ↔ Supabase via API REST sécurisée, avec cache local IndexedDB pour le mode offline du Chef de Site.</w:t>
      </w:r>
    </w:p>
    <w:p>
      <w:pPr>
        <w:pStyle w:val="ListParagraph"/>
        <w:numPr>
          <w:ilvl w:val="0"/>
          <w:numId w:val="2"/>
        </w:numPr>
        <w:spacing w:after="80"/>
      </w:pPr>
      <w:r>
        <w:t xml:space="preserve">Flux Paiement : déclenché par l'Admin, le microservice paiement lit les pointages validés de la semaine, calcule les montants, appelle l'API MVola en lots, met à jour les statuts dans Supabase et déclenche les notifications.</w:t>
      </w:r>
    </w:p>
    <w:p>
      <w:pPr>
        <w:pStyle w:val="Heading1"/>
        <w:spacing w:after="200" w:before="360"/>
      </w:pPr>
      <w:r>
        <w:t xml:space="preserve">4. Parcours utilisateurs</w:t>
      </w:r>
    </w:p>
    <w:p>
      <w:pPr>
        <w:spacing w:after="120"/>
      </w:pPr>
      <w:r>
        <w:t xml:space="preserve">La variante conserve les trois rôles définis par NextA mais clarifie l'outil utilisé par chacun et ses capacités hors ligne.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Rôle</w:t>
            </w:r>
          </w:p>
        </w:tc>
        <w:tc>
          <w:tcPr>
            <w:tcW w:type="dxa" w:w="3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Outil principal</w:t>
            </w:r>
          </w:p>
        </w:tc>
        <w:tc>
          <w:tcPr>
            <w:tcW w:type="dxa" w:w="34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Capacités clés</w:t>
            </w:r>
          </w:p>
        </w:tc>
      </w:tr>
      <w:tr>
        <w:tc>
          <w:tcPr>
            <w:tcW w:type="dxa" w:w="24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Agent Terrain</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ODK Collect (Android)</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Saisie pointages hors ligne</w:t>
            </w:r>
          </w:p>
          <w:p>
            <w:pPr>
              <w:spacing w:after="60"/>
            </w:pPr>
            <w:r>
              <w:rPr>
                <w:sz w:val="20"/>
                <w:szCs w:val="20"/>
              </w:rPr>
              <w:t xml:space="preserve">• Photo, géolocalisation, signature</w:t>
            </w:r>
          </w:p>
          <w:p>
            <w:pPr>
              <w:spacing w:after="60"/>
            </w:pPr>
            <w:r>
              <w:rPr>
                <w:sz w:val="20"/>
                <w:szCs w:val="20"/>
              </w:rPr>
              <w:t xml:space="preserve">• Sync auto au retour de réseau</w:t>
            </w:r>
          </w:p>
          <w:p>
            <w:pPr>
              <w:spacing w:after="60"/>
            </w:pPr>
            <w:r>
              <w:rPr>
                <w:sz w:val="20"/>
                <w:szCs w:val="20"/>
              </w:rPr>
              <w:t xml:space="preserve">• Aucun compte cloud requis (token serveur)</w:t>
            </w:r>
          </w:p>
        </w:tc>
      </w:tr>
      <w:tr>
        <w:tc>
          <w:tcPr>
            <w:tcW w:type="dxa" w:w="24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Chef de Site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PWA ALTERRA (mobile + desktop)</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Liste travailleurs affectés</w:t>
            </w:r>
          </w:p>
          <w:p>
            <w:pPr>
              <w:spacing w:after="60"/>
            </w:pPr>
            <w:r>
              <w:rPr>
                <w:sz w:val="20"/>
                <w:szCs w:val="20"/>
              </w:rPr>
              <w:t xml:space="preserve">• Validation pointages en lot</w:t>
            </w:r>
          </w:p>
          <w:p>
            <w:pPr>
              <w:spacing w:after="60"/>
            </w:pPr>
            <w:r>
              <w:rPr>
                <w:sz w:val="20"/>
                <w:szCs w:val="20"/>
              </w:rPr>
              <w:t xml:space="preserve">• Vue calendrier &amp; présence</w:t>
            </w:r>
          </w:p>
          <w:p>
            <w:pPr>
              <w:spacing w:after="60"/>
            </w:pPr>
            <w:r>
              <w:rPr>
                <w:sz w:val="20"/>
                <w:szCs w:val="20"/>
              </w:rPr>
              <w:t xml:space="preserve">• Mode offline complet (lecture + validation)</w:t>
            </w:r>
          </w:p>
          <w:p>
            <w:pPr>
              <w:spacing w:after="60"/>
            </w:pPr>
            <w:r>
              <w:rPr>
                <w:sz w:val="20"/>
                <w:szCs w:val="20"/>
              </w:rPr>
              <w:t xml:space="preserve">• Notifications retards de pointage</w:t>
            </w:r>
          </w:p>
        </w:tc>
      </w:tr>
      <w:tr>
        <w:tc>
          <w:tcPr>
            <w:tcW w:type="dxa" w:w="24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Administrateur</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PWA ALTERRA + Metabase</w:t>
            </w:r>
          </w:p>
        </w:tc>
        <w:tc>
          <w:tcPr>
            <w:tcW w:type="dxa" w:w="34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Gestion travailleurs / sites / contrats</w:t>
            </w:r>
          </w:p>
          <w:p>
            <w:pPr>
              <w:spacing w:after="60"/>
            </w:pPr>
            <w:r>
              <w:rPr>
                <w:sz w:val="20"/>
                <w:szCs w:val="20"/>
              </w:rPr>
              <w:t xml:space="preserve">• Lancement paiements hebdo MVola</w:t>
            </w:r>
          </w:p>
          <w:p>
            <w:pPr>
              <w:spacing w:after="60"/>
            </w:pPr>
            <w:r>
              <w:rPr>
                <w:sz w:val="20"/>
                <w:szCs w:val="20"/>
              </w:rPr>
              <w:t xml:space="preserve">• Journal d'audit, exports comptables</w:t>
            </w:r>
          </w:p>
          <w:p>
            <w:pPr>
              <w:spacing w:after="60"/>
            </w:pPr>
            <w:r>
              <w:rPr>
                <w:sz w:val="20"/>
                <w:szCs w:val="20"/>
              </w:rPr>
              <w:t xml:space="preserve">• Tableaux de bord opérationnels et financiers</w:t>
            </w:r>
          </w:p>
        </w:tc>
      </w:tr>
    </w:tbl>
    <w:p>
      <w:pPr>
        <w:spacing w:after="0"/>
      </w:pPr>
    </w:p>
    <w:p>
      <w:pPr>
        <w:pStyle w:val="Heading1"/>
        <w:spacing w:after="200" w:before="360"/>
      </w:pPr>
      <w:r>
        <w:t xml:space="preserve">5. Modèle de données</w:t>
      </w:r>
    </w:p>
    <w:p>
      <w:pPr>
        <w:spacing w:after="120"/>
      </w:pPr>
      <w:r>
        <w:t xml:space="preserve">Le modèle reprend les quatre entités proposées par NextA en les enrichissant pour répondre aux besoins de paiement automatisé, d'audit et de conformité.</w:t>
      </w:r>
    </w:p>
    <w:p>
      <w:pPr>
        <w:pStyle w:val="Heading2"/>
        <w:spacing w:after="140" w:before="240"/>
      </w:pPr>
      <w:r>
        <w:t xml:space="preserve">5.1 Tables principales</w:t>
      </w:r>
    </w:p>
    <w:p>
      <w:pPr>
        <w:pStyle w:val="ListParagraph"/>
        <w:numPr>
          <w:ilvl w:val="0"/>
          <w:numId w:val="2"/>
        </w:numPr>
        <w:spacing w:after="80"/>
      </w:pPr>
      <w:r>
        <w:rPr>
          <w:b/>
          <w:bCs/>
        </w:rPr>
        <w:t xml:space="preserve">travailleurs</w:t>
      </w:r>
      <w:r>
        <w:t xml:space="preserve"> : id, nom, prénom, photo (référence Storage), date_naissance (au lieu de l'âge calculé dynamiquement), situation_matrimoniale, nb_enfants, numero_mvola, numero_cin, site_id, statut (actif / inactif), tarif_journalier, créé_le, modifié_le, créé_par.</w:t>
      </w:r>
    </w:p>
    <w:p>
      <w:pPr>
        <w:pStyle w:val="ListParagraph"/>
        <w:numPr>
          <w:ilvl w:val="0"/>
          <w:numId w:val="2"/>
        </w:numPr>
        <w:spacing w:after="80"/>
      </w:pPr>
      <w:r>
        <w:rPr>
          <w:b/>
          <w:bCs/>
        </w:rPr>
        <w:t xml:space="preserve">pointages</w:t>
      </w:r>
      <w:r>
        <w:t xml:space="preserve"> : id, travailleur_id, site_id, date, heure_arrivee, heure_depart, activite, geo_lat, geo_lng, photo_preuve, source (odk / pwa / manuel), statut (brouillon / validé / rejeté), validé_par, validé_le, motif_rejet.</w:t>
      </w:r>
    </w:p>
    <w:p>
      <w:pPr>
        <w:pStyle w:val="ListParagraph"/>
        <w:numPr>
          <w:ilvl w:val="0"/>
          <w:numId w:val="2"/>
        </w:numPr>
        <w:spacing w:after="80"/>
      </w:pPr>
      <w:r>
        <w:rPr>
          <w:b/>
          <w:bCs/>
        </w:rPr>
        <w:t xml:space="preserve">paiements</w:t>
      </w:r>
      <w:r>
        <w:t xml:space="preserve"> : id, travailleur_id, semaine_iso, montant, devise, statut (en_attente / envoyé / payé / échoué), mvola_transaction_id, mvola_message, tenté_le, payé_le, validé_par.</w:t>
      </w:r>
    </w:p>
    <w:p>
      <w:pPr>
        <w:pStyle w:val="ListParagraph"/>
        <w:numPr>
          <w:ilvl w:val="0"/>
          <w:numId w:val="2"/>
        </w:numPr>
        <w:spacing w:after="80"/>
      </w:pPr>
      <w:r>
        <w:rPr>
          <w:b/>
          <w:bCs/>
        </w:rPr>
        <w:t xml:space="preserve">sites</w:t>
      </w:r>
      <w:r>
        <w:t xml:space="preserve"> : id, nom, localisation, geo, responsable_id, actif.</w:t>
      </w:r>
    </w:p>
    <w:p>
      <w:pPr>
        <w:pStyle w:val="ListParagraph"/>
        <w:numPr>
          <w:ilvl w:val="0"/>
          <w:numId w:val="2"/>
        </w:numPr>
        <w:spacing w:after="80"/>
      </w:pPr>
      <w:r>
        <w:rPr>
          <w:b/>
          <w:bCs/>
        </w:rPr>
        <w:t xml:space="preserve">utilisateurs</w:t>
      </w:r>
      <w:r>
        <w:t xml:space="preserve"> (géré par Supabase Auth) : id, email, rôle (admin / chef_site / agent), site_id, actif.</w:t>
      </w:r>
    </w:p>
    <w:p>
      <w:pPr>
        <w:pStyle w:val="ListParagraph"/>
        <w:numPr>
          <w:ilvl w:val="0"/>
          <w:numId w:val="2"/>
        </w:numPr>
        <w:spacing w:after="80"/>
      </w:pPr>
      <w:r>
        <w:rPr>
          <w:b/>
          <w:bCs/>
        </w:rPr>
        <w:t xml:space="preserve">audit_log</w:t>
      </w:r>
      <w:r>
        <w:t xml:space="preserve"> : id, table_concernée, ligne_id, action, ancien_valeur, nouveau_valeur, utilisateur_id, horodatage. Indispensable pour la traçabilité paiement et la conformité.</w:t>
      </w:r>
    </w:p>
    <w:p>
      <w:pPr>
        <w:pStyle w:val="Heading2"/>
        <w:spacing w:after="140" w:before="240"/>
      </w:pPr>
      <w:r>
        <w:t xml:space="preserve">5.2 Sécurité au niveau ligne (RLS)</w:t>
      </w:r>
    </w:p>
    <w:p>
      <w:pPr>
        <w:spacing w:after="120"/>
      </w:pPr>
      <w:r>
        <w:t xml:space="preserve">Supabase permet d'écrire des politiques de sécurité directement en SQL. Exemple : un Chef de Site ne peut lire ou modifier que les pointages des travailleurs affectés à son site. Un Agent Terrain ne peut écrire que dans la table pointages, jamais lire les paiements. Ces règles sont appliquées par le moteur PostgreSQL — impossible à contourner via l'API.</w:t>
      </w:r>
    </w:p>
    <w:p>
      <w:pPr>
        <w:pStyle w:val="Heading1"/>
        <w:spacing w:after="200" w:before="360"/>
      </w:pPr>
      <w:r>
        <w:t xml:space="preserve">6. Stratégie offline-first</w:t>
      </w:r>
    </w:p>
    <w:p>
      <w:pPr>
        <w:spacing w:after="120"/>
      </w:pPr>
      <w:r>
        <w:t xml:space="preserve">Le mode hors ligne est traité comme une exigence de premier rang, pas comme une option. Trois mécanismes coexistent :</w:t>
      </w:r>
    </w:p>
    <w:p>
      <w:pPr>
        <w:pStyle w:val="Heading2"/>
        <w:spacing w:after="140" w:before="240"/>
      </w:pPr>
      <w:r>
        <w:t xml:space="preserve">6.1 Agent Terrain — ODK Collect</w:t>
      </w:r>
    </w:p>
    <w:p>
      <w:pPr>
        <w:pStyle w:val="ListParagraph"/>
        <w:numPr>
          <w:ilvl w:val="0"/>
          <w:numId w:val="2"/>
        </w:numPr>
        <w:spacing w:after="80"/>
      </w:pPr>
      <w:r>
        <w:t xml:space="preserve">ODK Collect stocke localement en SQLite chiffré tous les formulaires saisis.</w:t>
      </w:r>
    </w:p>
    <w:p>
      <w:pPr>
        <w:pStyle w:val="ListParagraph"/>
        <w:numPr>
          <w:ilvl w:val="0"/>
          <w:numId w:val="2"/>
        </w:numPr>
        <w:spacing w:after="80"/>
      </w:pPr>
      <w:r>
        <w:t xml:space="preserve">Synchronisation par paquets compressés vers ODK Central dès qu'une connexion (3G, Wi-Fi) est disponible.</w:t>
      </w:r>
    </w:p>
    <w:p>
      <w:pPr>
        <w:pStyle w:val="ListParagraph"/>
        <w:numPr>
          <w:ilvl w:val="0"/>
          <w:numId w:val="2"/>
        </w:numPr>
        <w:spacing w:after="80"/>
      </w:pPr>
      <w:r>
        <w:t xml:space="preserve">Aucun risque de perte : tant que le formulaire n'a pas été acquitté par le serveur, il reste en file locale.</w:t>
      </w:r>
    </w:p>
    <w:p>
      <w:pPr>
        <w:pStyle w:val="ListParagraph"/>
        <w:numPr>
          <w:ilvl w:val="0"/>
          <w:numId w:val="2"/>
        </w:numPr>
        <w:spacing w:after="80"/>
      </w:pPr>
      <w:r>
        <w:t xml:space="preserve">Supporte les pièces jointes lourdes (photos) avec compression configurable.</w:t>
      </w:r>
    </w:p>
    <w:p>
      <w:pPr>
        <w:pStyle w:val="Heading2"/>
        <w:spacing w:after="140" w:before="240"/>
      </w:pPr>
      <w:r>
        <w:t xml:space="preserve">6.2 Chef de Site — PWA</w:t>
      </w:r>
    </w:p>
    <w:p>
      <w:pPr>
        <w:pStyle w:val="ListParagraph"/>
        <w:numPr>
          <w:ilvl w:val="0"/>
          <w:numId w:val="2"/>
        </w:numPr>
        <w:spacing w:after="80"/>
      </w:pPr>
      <w:r>
        <w:t xml:space="preserve">Service Worker : mise en cache de l'interface (HTML/CSS/JS) pour permettre le démarrage hors ligne.</w:t>
      </w:r>
    </w:p>
    <w:p>
      <w:pPr>
        <w:pStyle w:val="ListParagraph"/>
        <w:numPr>
          <w:ilvl w:val="0"/>
          <w:numId w:val="2"/>
        </w:numPr>
        <w:spacing w:after="80"/>
      </w:pPr>
      <w:r>
        <w:t xml:space="preserve">IndexedDB : copie locale des travailleurs du site, des pointages des 14 derniers jours et des actions de validation effectuées hors ligne.</w:t>
      </w:r>
    </w:p>
    <w:p>
      <w:pPr>
        <w:pStyle w:val="ListParagraph"/>
        <w:numPr>
          <w:ilvl w:val="0"/>
          <w:numId w:val="2"/>
        </w:numPr>
        <w:spacing w:after="80"/>
      </w:pPr>
      <w:r>
        <w:t xml:space="preserve">Stratégie de synchronisation : « last-write-wins » avec horodatage serveur, conflits remontés à l'Admin via tableau de bord dédié.</w:t>
      </w:r>
    </w:p>
    <w:p>
      <w:pPr>
        <w:pStyle w:val="ListParagraph"/>
        <w:numPr>
          <w:ilvl w:val="0"/>
          <w:numId w:val="2"/>
        </w:numPr>
        <w:spacing w:after="80"/>
      </w:pPr>
      <w:r>
        <w:t xml:space="preserve">Indicateur visuel permanent du statut de connexion et du nombre d'éléments en attente de synchronisation.</w:t>
      </w:r>
    </w:p>
    <w:p>
      <w:pPr>
        <w:pStyle w:val="Heading2"/>
        <w:spacing w:after="140" w:before="240"/>
      </w:pPr>
      <w:r>
        <w:t xml:space="preserve">6.3 Administrateur</w:t>
      </w:r>
    </w:p>
    <w:p>
      <w:pPr>
        <w:spacing w:after="120"/>
      </w:pPr>
      <w:r>
        <w:t xml:space="preserve">L'Admin travaille principalement en ligne (paiements, configuration), mais conserve une vue lecture seule en cache pour consultation rapide en mobilité.</w:t>
      </w:r>
    </w:p>
    <w:p>
      <w:pPr>
        <w:pStyle w:val="Heading1"/>
        <w:spacing w:after="200" w:before="360"/>
      </w:pPr>
      <w:r>
        <w:t xml:space="preserve">7. Intégration MVola — paiement hebdomadaire automatisé</w:t>
      </w:r>
    </w:p>
    <w:p>
      <w:pPr>
        <w:spacing w:after="120"/>
      </w:pPr>
      <w:r>
        <w:t xml:space="preserve">L'API MVola (Telma) expose des endpoints REST pour les transferts marchand-vers-client (B2C). Le microservice paiement orchestre le cycle hebdomadaire complet :</w:t>
      </w:r>
    </w:p>
    <w:p>
      <w:pPr>
        <w:pStyle w:val="ListParagraph"/>
        <w:numPr>
          <w:ilvl w:val="0"/>
          <w:numId w:val="2"/>
        </w:numPr>
        <w:spacing w:after="80"/>
      </w:pPr>
      <w:r>
        <w:t xml:space="preserve">Lundi matin : extraction des pointages validés de la semaine S-1 et calcul des montants par travailleur (heures × tarif journalier, prime, retenues).</w:t>
      </w:r>
    </w:p>
    <w:p>
      <w:pPr>
        <w:pStyle w:val="ListParagraph"/>
        <w:numPr>
          <w:ilvl w:val="0"/>
          <w:numId w:val="2"/>
        </w:numPr>
        <w:spacing w:after="80"/>
      </w:pPr>
      <w:r>
        <w:t xml:space="preserve">Génération d'un état de paiement consultable et modifiable par l'Admin avant exécution.</w:t>
      </w:r>
    </w:p>
    <w:p>
      <w:pPr>
        <w:pStyle w:val="ListParagraph"/>
        <w:numPr>
          <w:ilvl w:val="0"/>
          <w:numId w:val="2"/>
        </w:numPr>
        <w:spacing w:after="80"/>
      </w:pPr>
      <w:r>
        <w:t xml:space="preserve">Validation Admin → appel API MVola en lots de 50 transactions, avec gestion des erreurs et reprise automatique.</w:t>
      </w:r>
    </w:p>
    <w:p>
      <w:pPr>
        <w:pStyle w:val="ListParagraph"/>
        <w:numPr>
          <w:ilvl w:val="0"/>
          <w:numId w:val="2"/>
        </w:numPr>
        <w:spacing w:after="80"/>
      </w:pPr>
      <w:r>
        <w:t xml:space="preserve">Mise à jour du statut paiement (envoyé → payé après webhook MVola de confirmation), journal d'audit complet.</w:t>
      </w:r>
    </w:p>
    <w:p>
      <w:pPr>
        <w:pStyle w:val="ListParagraph"/>
        <w:numPr>
          <w:ilvl w:val="0"/>
          <w:numId w:val="2"/>
        </w:numPr>
        <w:spacing w:after="80"/>
      </w:pPr>
      <w:r>
        <w:t xml:space="preserve">Notification SMS au travailleur via API Telma SMS en cas d'échec persistant.</w:t>
      </w:r>
    </w:p>
    <w:p>
      <w:pPr>
        <w:spacing w:after="120"/>
      </w:pPr>
      <w:r>
        <w:t xml:space="preserve">Bénéfices : réduction du temps de paiement de plusieurs heures-homme par semaine à quelques minutes de validation, traçabilité complète exigée par les contrôles fiscaux et sociaux.</w:t>
      </w:r>
    </w:p>
    <w:p>
      <w:pPr>
        <w:pStyle w:val="Heading1"/>
        <w:spacing w:after="200" w:before="360"/>
      </w:pPr>
      <w:r>
        <w:t xml:space="preserve">8. Sécurité et conformité</w:t>
      </w:r>
    </w:p>
    <w:p>
      <w:pPr>
        <w:pStyle w:val="ListParagraph"/>
        <w:numPr>
          <w:ilvl w:val="0"/>
          <w:numId w:val="2"/>
        </w:numPr>
        <w:spacing w:after="80"/>
      </w:pPr>
      <w:r>
        <w:rPr>
          <w:b/>
          <w:bCs/>
        </w:rPr>
        <w:t xml:space="preserve">Chiffrement : </w:t>
      </w:r>
      <w:r>
        <w:t xml:space="preserve">TLS 1.3 en transit, AES-256 au repos (Supabase), chiffrement local sur ODK Collect via mot de passe utilisateur.</w:t>
      </w:r>
    </w:p>
    <w:p>
      <w:pPr>
        <w:pStyle w:val="ListParagraph"/>
        <w:numPr>
          <w:ilvl w:val="0"/>
          <w:numId w:val="2"/>
        </w:numPr>
        <w:spacing w:after="80"/>
      </w:pPr>
      <w:r>
        <w:rPr>
          <w:b/>
          <w:bCs/>
        </w:rPr>
        <w:t xml:space="preserve">Authentification : </w:t>
      </w:r>
      <w:r>
        <w:t xml:space="preserve">Supabase Auth (email + OTP SMS pour les Chefs de Site sans email), MFA pour les comptes Admin.</w:t>
      </w:r>
    </w:p>
    <w:p>
      <w:pPr>
        <w:pStyle w:val="ListParagraph"/>
        <w:numPr>
          <w:ilvl w:val="0"/>
          <w:numId w:val="2"/>
        </w:numPr>
        <w:spacing w:after="80"/>
      </w:pPr>
      <w:r>
        <w:rPr>
          <w:b/>
          <w:bCs/>
        </w:rPr>
        <w:t xml:space="preserve">Permissions : </w:t>
      </w:r>
      <w:r>
        <w:t xml:space="preserve">RLS PostgreSQL (cf. §5.2), aucun appel direct à la base — toutes les opérations passent par l'API authentifiée.</w:t>
      </w:r>
    </w:p>
    <w:p>
      <w:pPr>
        <w:pStyle w:val="ListParagraph"/>
        <w:numPr>
          <w:ilvl w:val="0"/>
          <w:numId w:val="2"/>
        </w:numPr>
        <w:spacing w:after="80"/>
      </w:pPr>
      <w:r>
        <w:rPr>
          <w:b/>
          <w:bCs/>
        </w:rPr>
        <w:t xml:space="preserve">Données personnelles : </w:t>
      </w:r>
      <w:r>
        <w:t xml:space="preserve">registre des traitements, durée de conservation paramétrable, mécanisme de droit à l'effacement, anonymisation pour exports analytiques.</w:t>
      </w:r>
    </w:p>
    <w:p>
      <w:pPr>
        <w:pStyle w:val="ListParagraph"/>
        <w:numPr>
          <w:ilvl w:val="0"/>
          <w:numId w:val="2"/>
        </w:numPr>
        <w:spacing w:after="80"/>
      </w:pPr>
      <w:r>
        <w:rPr>
          <w:b/>
          <w:bCs/>
        </w:rPr>
        <w:t xml:space="preserve">Souveraineté : </w:t>
      </w:r>
      <w:r>
        <w:t xml:space="preserve">le choix de PostgreSQL standard permet de migrer la base vers un hébergeur malgache (Telma Data Center, OVH Madagascar) sans aucune réécriture applicative.</w:t>
      </w:r>
    </w:p>
    <w:p>
      <w:pPr>
        <w:pStyle w:val="ListParagraph"/>
        <w:numPr>
          <w:ilvl w:val="0"/>
          <w:numId w:val="2"/>
        </w:numPr>
        <w:spacing w:after="80"/>
      </w:pPr>
      <w:r>
        <w:rPr>
          <w:b/>
          <w:bCs/>
        </w:rPr>
        <w:t xml:space="preserve">Audit : </w:t>
      </w:r>
      <w:r>
        <w:t xml:space="preserve">table audit_log alimentée par triggers PostgreSQL, requêtable sans impact sur la performance opérationnelle.</w:t>
      </w:r>
    </w:p>
    <w:p>
      <w:pPr>
        <w:pStyle w:val="ListParagraph"/>
        <w:numPr>
          <w:ilvl w:val="0"/>
          <w:numId w:val="2"/>
        </w:numPr>
        <w:spacing w:after="80"/>
      </w:pPr>
      <w:r>
        <w:rPr>
          <w:b/>
          <w:bCs/>
        </w:rPr>
        <w:t xml:space="preserve">Sauvegardes : </w:t>
      </w:r>
      <w:r>
        <w:t xml:space="preserve">PITR (Point-In-Time Recovery) sur 7 jours inclus avec Supabase, snapshot quotidien externalisé S3 conseillé.</w:t>
      </w:r>
    </w:p>
    <w:p>
      <w:pPr>
        <w:pStyle w:val="Heading1"/>
        <w:spacing w:after="200" w:before="360"/>
      </w:pPr>
      <w:r>
        <w:t xml:space="preserve">9. Tableaux de bord et reporting</w:t>
      </w:r>
    </w:p>
    <w:p>
      <w:pPr>
        <w:spacing w:after="120"/>
      </w:pPr>
      <w:r>
        <w:t xml:space="preserve">Metabase est connecté à Supabase en lecture seule sur des vues SQL dédiées. Les tableaux de bord livrés au démarrage couvrent :</w:t>
      </w:r>
    </w:p>
    <w:p>
      <w:pPr>
        <w:pStyle w:val="ListParagraph"/>
        <w:numPr>
          <w:ilvl w:val="0"/>
          <w:numId w:val="2"/>
        </w:numPr>
        <w:spacing w:after="80"/>
      </w:pPr>
      <w:r>
        <w:t xml:space="preserve">Présence : taux de présence quotidien et hebdomadaire par site, top retards, absences répétées.</w:t>
      </w:r>
    </w:p>
    <w:p>
      <w:pPr>
        <w:pStyle w:val="ListParagraph"/>
        <w:numPr>
          <w:ilvl w:val="0"/>
          <w:numId w:val="2"/>
        </w:numPr>
        <w:spacing w:after="80"/>
      </w:pPr>
      <w:r>
        <w:t xml:space="preserve">Paiement : encours hebdomadaire, taux d'échec MVola, délai moyen de paiement, montant total versé par site et par mois.</w:t>
      </w:r>
    </w:p>
    <w:p>
      <w:pPr>
        <w:pStyle w:val="ListParagraph"/>
        <w:numPr>
          <w:ilvl w:val="0"/>
          <w:numId w:val="2"/>
        </w:numPr>
        <w:spacing w:after="80"/>
      </w:pPr>
      <w:r>
        <w:t xml:space="preserve">Productivité : heures travaillées par travailleur, ventilation par activité, comparaison inter-sites.</w:t>
      </w:r>
    </w:p>
    <w:p>
      <w:pPr>
        <w:pStyle w:val="ListParagraph"/>
        <w:numPr>
          <w:ilvl w:val="0"/>
          <w:numId w:val="2"/>
        </w:numPr>
        <w:spacing w:after="80"/>
      </w:pPr>
      <w:r>
        <w:t xml:space="preserve">Conformité : taux de pointages validés vs rejetés, anomalies (pointage sans photo, double pointage).</w:t>
      </w:r>
    </w:p>
    <w:p>
      <w:pPr>
        <w:spacing w:after="120"/>
      </w:pPr>
      <w:r>
        <w:t xml:space="preserve">Les utilisateurs Admin peuvent créer leurs propres tableaux sans intervention technique. Les exports CSV / Excel / PDF sont natifs.</w:t>
      </w:r>
    </w:p>
    <w:p>
      <w:pPr>
        <w:pStyle w:val="Heading1"/>
        <w:spacing w:after="200" w:before="360"/>
      </w:pPr>
      <w:r>
        <w:t xml:space="preserve">10. Plan de mise en œuvre</w:t>
      </w:r>
    </w:p>
    <w:p>
      <w:pPr>
        <w:spacing w:after="120"/>
      </w:pPr>
      <w:r>
        <w:t xml:space="preserve">Le calendrier est plus long que la proposition NextA (45 j vs 24 j) car il intègre un développement applicatif réel (PWA), l'intégration MVola en sandbox puis production, et une phase pilote distincte. Ce surcoût initial est l'investissement qui sécurise l'usage à long terme.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200"/>
        <w:gridCol w:w="4960"/>
      </w:tblGrid>
      <w:tr>
        <w:trPr>
          <w:tblHeader/>
        </w:trPr>
        <w:tc>
          <w:tcPr>
            <w:tcW w:type="dxa" w:w="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Phase</w:t>
            </w:r>
          </w:p>
        </w:tc>
        <w:tc>
          <w:tcPr>
            <w:tcW w:type="dxa" w:w="2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Intitulé</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Durée</w:t>
            </w:r>
          </w:p>
        </w:tc>
        <w:tc>
          <w:tcPr>
            <w:tcW w:type="dxa" w:w="4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Livrables</w:t>
            </w:r>
          </w:p>
        </w:tc>
      </w:tr>
      <w:tr>
        <w:tc>
          <w:tcPr>
            <w:tcW w:type="dxa" w:w="8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jc w:val="center"/>
            </w:pPr>
            <w:r>
              <w:rPr>
                <w:b/>
                <w:bCs/>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0"/>
                <w:szCs w:val="20"/>
              </w:rPr>
              <w:t xml:space="preserve">Cadrage &amp; conception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7 jours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Atelier processus avec ALTERRA</w:t>
            </w:r>
          </w:p>
          <w:p>
            <w:pPr>
              <w:spacing w:after="60"/>
            </w:pPr>
            <w:r>
              <w:rPr>
                <w:sz w:val="20"/>
                <w:szCs w:val="20"/>
              </w:rPr>
              <w:t xml:space="preserve">• Modèle de données détaillé + politiques RLS</w:t>
            </w:r>
          </w:p>
          <w:p>
            <w:pPr>
              <w:spacing w:after="60"/>
            </w:pPr>
            <w:r>
              <w:rPr>
                <w:sz w:val="20"/>
                <w:szCs w:val="20"/>
              </w:rPr>
              <w:t xml:space="preserve">• Maquettes PWA (Figma)</w:t>
            </w:r>
          </w:p>
          <w:p>
            <w:pPr>
              <w:spacing w:after="60"/>
            </w:pPr>
            <w:r>
              <w:rPr>
                <w:sz w:val="20"/>
                <w:szCs w:val="20"/>
              </w:rPr>
              <w:t xml:space="preserve">• Cahier de tests d'acceptance</w:t>
            </w:r>
          </w:p>
        </w:tc>
      </w:tr>
      <w:tr>
        <w:tc>
          <w:tcPr>
            <w:tcW w:type="dxa" w:w="8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jc w:val="center"/>
            </w:pPr>
            <w:r>
              <w:rPr>
                <w:b/>
                <w:bCs/>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0"/>
                <w:szCs w:val="20"/>
              </w:rPr>
              <w:t xml:space="preserve">Socle technique &amp; ODK</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8 jours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Supabase configuré (schéma, RLS, auth)</w:t>
            </w:r>
          </w:p>
          <w:p>
            <w:pPr>
              <w:spacing w:after="60"/>
            </w:pPr>
            <w:r>
              <w:rPr>
                <w:sz w:val="20"/>
                <w:szCs w:val="20"/>
              </w:rPr>
              <w:t xml:space="preserve">• ODK Central déployé + formulaires pointage</w:t>
            </w:r>
          </w:p>
          <w:p>
            <w:pPr>
              <w:spacing w:after="60"/>
            </w:pPr>
            <w:r>
              <w:rPr>
                <w:sz w:val="20"/>
                <w:szCs w:val="20"/>
              </w:rPr>
              <w:t xml:space="preserve">• Pipeline ODK → Supabase (webhook)</w:t>
            </w:r>
          </w:p>
        </w:tc>
      </w:tr>
      <w:tr>
        <w:tc>
          <w:tcPr>
            <w:tcW w:type="dxa" w:w="8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jc w:val="center"/>
            </w:pPr>
            <w:r>
              <w:rPr>
                <w:b/>
                <w:bCs/>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0"/>
                <w:szCs w:val="20"/>
              </w:rPr>
              <w:t xml:space="preserve">PWA Chef de Site &amp; Admin</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12 jours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Authentification, navigation, gestion travailleurs</w:t>
            </w:r>
          </w:p>
          <w:p>
            <w:pPr>
              <w:spacing w:after="60"/>
            </w:pPr>
            <w:r>
              <w:rPr>
                <w:sz w:val="20"/>
                <w:szCs w:val="20"/>
              </w:rPr>
              <w:t xml:space="preserve">• Validation pointages avec mode offline complet</w:t>
            </w:r>
          </w:p>
          <w:p>
            <w:pPr>
              <w:spacing w:after="60"/>
            </w:pPr>
            <w:r>
              <w:rPr>
                <w:sz w:val="20"/>
                <w:szCs w:val="20"/>
              </w:rPr>
              <w:t xml:space="preserve">• Lancement paiements (sans MVola en phase pilote)</w:t>
            </w:r>
          </w:p>
        </w:tc>
      </w:tr>
      <w:tr>
        <w:tc>
          <w:tcPr>
            <w:tcW w:type="dxa" w:w="8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jc w:val="center"/>
            </w:pPr>
            <w:r>
              <w:rPr>
                <w:b/>
                <w:bCs/>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0"/>
                <w:szCs w:val="20"/>
              </w:rPr>
              <w:t xml:space="preserve">Intégration MVola</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6 jours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Microservice paiement</w:t>
            </w:r>
          </w:p>
          <w:p>
            <w:pPr>
              <w:spacing w:after="60"/>
            </w:pPr>
            <w:r>
              <w:rPr>
                <w:sz w:val="20"/>
                <w:szCs w:val="20"/>
              </w:rPr>
              <w:t xml:space="preserve">• Tests sandbox MVola, journal d'audit</w:t>
            </w:r>
          </w:p>
          <w:p>
            <w:pPr>
              <w:spacing w:after="60"/>
            </w:pPr>
            <w:r>
              <w:rPr>
                <w:sz w:val="20"/>
                <w:szCs w:val="20"/>
              </w:rPr>
              <w:t xml:space="preserve">• Réconciliation et reprise sur erreur</w:t>
            </w:r>
          </w:p>
        </w:tc>
      </w:tr>
      <w:tr>
        <w:tc>
          <w:tcPr>
            <w:tcW w:type="dxa" w:w="8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jc w:val="center"/>
            </w:pPr>
            <w:r>
              <w:rPr>
                <w:b/>
                <w:bCs/>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0"/>
                <w:szCs w:val="20"/>
              </w:rPr>
              <w:t xml:space="preserve">Tableaux de bord &amp; tests</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5 jours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Vues Metabase, dashboards initiaux</w:t>
            </w:r>
          </w:p>
          <w:p>
            <w:pPr>
              <w:spacing w:after="60"/>
            </w:pPr>
            <w:r>
              <w:rPr>
                <w:sz w:val="20"/>
                <w:szCs w:val="20"/>
              </w:rPr>
              <w:t xml:space="preserve">• Tests intégrés bout en bout</w:t>
            </w:r>
          </w:p>
          <w:p>
            <w:pPr>
              <w:spacing w:after="60"/>
            </w:pPr>
            <w:r>
              <w:rPr>
                <w:sz w:val="20"/>
                <w:szCs w:val="20"/>
              </w:rPr>
              <w:t xml:space="preserve">• Tests de charge &amp; offline</w:t>
            </w:r>
          </w:p>
        </w:tc>
      </w:tr>
      <w:tr>
        <w:tc>
          <w:tcPr>
            <w:tcW w:type="dxa" w:w="80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jc w:val="center"/>
            </w:pPr>
            <w:r>
              <w:rPr>
                <w:b/>
                <w:bCs/>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bCs/>
                <w:sz w:val="20"/>
                <w:szCs w:val="20"/>
              </w:rPr>
              <w:t xml:space="preserve">Pilote, formation, mise en prod</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7 jours</w:t>
            </w:r>
          </w:p>
        </w:tc>
        <w:tc>
          <w:tcPr>
            <w:tcW w:type="dxa" w:w="4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60"/>
            </w:pPr>
            <w:r>
              <w:rPr>
                <w:sz w:val="20"/>
                <w:szCs w:val="20"/>
              </w:rPr>
              <w:t xml:space="preserve">• Pilote sur 1 site avec 20 travailleurs</w:t>
            </w:r>
          </w:p>
          <w:p>
            <w:pPr>
              <w:spacing w:after="60"/>
            </w:pPr>
            <w:r>
              <w:rPr>
                <w:sz w:val="20"/>
                <w:szCs w:val="20"/>
              </w:rPr>
              <w:t xml:space="preserve">• Formation Admin / Chef de Site / Agent</w:t>
            </w:r>
          </w:p>
          <w:p>
            <w:pPr>
              <w:spacing w:after="60"/>
            </w:pPr>
            <w:r>
              <w:rPr>
                <w:sz w:val="20"/>
                <w:szCs w:val="20"/>
              </w:rPr>
              <w:t xml:space="preserve">• Bascule production, support hypercare 2 sem.</w:t>
            </w:r>
          </w:p>
        </w:tc>
      </w:tr>
      <w:tr>
        <w:tc>
          <w:tcPr>
            <w:tcW w:type="dxa" w:w="800"/>
            <w:tcBorders>
              <w:top w:val="single" w:color="BFBFBF" w:sz="4"/>
              <w:left w:val="single" w:color="BFBFBF" w:sz="4"/>
              <w:bottom w:val="single" w:color="BFBFBF" w:sz="4"/>
              <w:right w:val="single" w:color="BFBFBF" w:sz="4"/>
            </w:tcBorders>
            <w:shd w:fill="F5B400" w:val="clear"/>
            <w:tcMar>
              <w:top w:type="dxa" w:w="100"/>
              <w:left w:type="dxa" w:w="140"/>
              <w:bottom w:type="dxa" w:w="100"/>
              <w:right w:type="dxa" w:w="140"/>
            </w:tcMar>
          </w:tcPr>
          <w:p>
            <w:pPr>
              <w:spacing w:after="0"/>
            </w:pPr>
            <w:r>
              <w:rPr>
                <w:sz w:val="20"/>
                <w:szCs w:val="20"/>
              </w:rPr>
              <w:t xml:space="preserve"/>
            </w:r>
          </w:p>
        </w:tc>
        <w:tc>
          <w:tcPr>
            <w:tcW w:type="dxa" w:w="2400"/>
            <w:tcBorders>
              <w:top w:val="single" w:color="BFBFBF" w:sz="4"/>
              <w:left w:val="single" w:color="BFBFBF" w:sz="4"/>
              <w:bottom w:val="single" w:color="BFBFBF" w:sz="4"/>
              <w:right w:val="single" w:color="BFBFBF" w:sz="4"/>
            </w:tcBorders>
            <w:shd w:fill="F5B400" w:val="clear"/>
            <w:tcMar>
              <w:top w:type="dxa" w:w="100"/>
              <w:left w:type="dxa" w:w="140"/>
              <w:bottom w:type="dxa" w:w="100"/>
              <w:right w:type="dxa" w:w="140"/>
            </w:tcMar>
          </w:tcPr>
          <w:p>
            <w:pPr>
              <w:spacing w:after="0"/>
            </w:pPr>
            <w:r>
              <w:rPr>
                <w:b/>
                <w:bCs/>
                <w:sz w:val="20"/>
                <w:szCs w:val="20"/>
              </w:rPr>
              <w:t xml:space="preserve">Total</w:t>
            </w:r>
          </w:p>
        </w:tc>
        <w:tc>
          <w:tcPr>
            <w:tcW w:type="dxa" w:w="1200"/>
            <w:tcBorders>
              <w:top w:val="single" w:color="BFBFBF" w:sz="4"/>
              <w:left w:val="single" w:color="BFBFBF" w:sz="4"/>
              <w:bottom w:val="single" w:color="BFBFBF" w:sz="4"/>
              <w:right w:val="single" w:color="BFBFBF" w:sz="4"/>
            </w:tcBorders>
            <w:shd w:fill="F5B400" w:val="clear"/>
            <w:tcMar>
              <w:top w:type="dxa" w:w="100"/>
              <w:left w:type="dxa" w:w="140"/>
              <w:bottom w:type="dxa" w:w="100"/>
              <w:right w:type="dxa" w:w="140"/>
            </w:tcMar>
          </w:tcPr>
          <w:p>
            <w:pPr>
              <w:spacing w:after="0"/>
              <w:jc w:val="center"/>
            </w:pPr>
            <w:r>
              <w:rPr>
                <w:b/>
                <w:bCs/>
                <w:sz w:val="20"/>
                <w:szCs w:val="20"/>
              </w:rPr>
              <w:t xml:space="preserve">45 jours</w:t>
            </w:r>
          </w:p>
        </w:tc>
        <w:tc>
          <w:tcPr>
            <w:tcW w:type="dxa" w:w="4960"/>
            <w:tcBorders>
              <w:top w:val="single" w:color="BFBFBF" w:sz="4"/>
              <w:left w:val="single" w:color="BFBFBF" w:sz="4"/>
              <w:bottom w:val="single" w:color="BFBFBF" w:sz="4"/>
              <w:right w:val="single" w:color="BFBFBF" w:sz="4"/>
            </w:tcBorders>
            <w:shd w:fill="F5B400" w:val="clear"/>
            <w:tcMar>
              <w:top w:type="dxa" w:w="100"/>
              <w:left w:type="dxa" w:w="140"/>
              <w:bottom w:type="dxa" w:w="100"/>
              <w:right w:type="dxa" w:w="140"/>
            </w:tcMar>
          </w:tcPr>
          <w:p>
            <w:pPr>
              <w:spacing w:after="0"/>
            </w:pPr>
            <w:r>
              <w:rPr>
                <w:sz w:val="20"/>
                <w:szCs w:val="20"/>
              </w:rPr>
              <w:t xml:space="preserve">≈ 9 semaines, dont 2 semaines de pilote/hypercare</w:t>
            </w:r>
          </w:p>
        </w:tc>
      </w:tr>
    </w:tbl>
    <w:p>
      <w:pPr>
        <w:spacing w:after="0"/>
      </w:pPr>
    </w:p>
    <w:p>
      <w:pPr>
        <w:pStyle w:val="Heading1"/>
        <w:spacing w:after="200" w:before="360"/>
      </w:pPr>
      <w:r>
        <w:t xml:space="preserve">11. Comparatif synthétique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80"/>
        <w:gridCol w:w="3340"/>
        <w:gridCol w:w="3340"/>
      </w:tblGrid>
      <w:tr>
        <w:trPr>
          <w:tblHeader/>
        </w:trPr>
        <w:tc>
          <w:tcPr>
            <w:tcW w:type="dxa" w:w="2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Critère</w:t>
            </w:r>
          </w:p>
        </w:tc>
        <w:tc>
          <w:tcPr>
            <w:tcW w:type="dxa" w:w="3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Proposition NextA (Airtable + Jotform)</w:t>
            </w:r>
          </w:p>
        </w:tc>
        <w:tc>
          <w:tcPr>
            <w:tcW w:type="dxa" w:w="334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Variante (ODK + Supabase + PWA)</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Délai de mise en service</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 24 jours — atout pour pilote rapide</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 45 jours — plus long mais inclut intégration MVola et offline robuste</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Offline Chef de Site</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Limité (Airtable mobile en consultation)</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Complet (PWA + IndexedDB) — validation possible hors ligne</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Paiement MVola</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Statut manuel, pas d'API</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Automatisé via API MVola, journal d'audit</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Coût marginal à 500 travailleurs</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 100–200 USD/mois (Airtable Team) + Jotform</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 50–80 USD/mois (Supabase Pro + Metabase)</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Souveraineté des données</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Hébergement US (Airtable)</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EU par défaut, migration locale possible</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Évolutivité fonctionnelle</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Limitée par les capacités d'Airtable / Jotform</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Illimitée (PostgreSQL + code applicatif)</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Compétences requises</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Faible — administration via interface</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Moyenne — un développeur fullstack à temps partiel pour la maintenance</w:t>
            </w:r>
          </w:p>
        </w:tc>
      </w:tr>
      <w:tr>
        <w:tc>
          <w:tcPr>
            <w:tcW w:type="dxa" w:w="2680"/>
            <w:tcBorders>
              <w:top w:val="single" w:color="BFBFBF" w:sz="4"/>
              <w:left w:val="single" w:color="BFBFBF" w:sz="4"/>
              <w:bottom w:val="single" w:color="BFBFBF" w:sz="4"/>
              <w:right w:val="single" w:color="BFBFBF" w:sz="4"/>
            </w:tcBorders>
            <w:shd w:fill="FDF4D6" w:val="clear"/>
            <w:tcMar>
              <w:top w:type="dxa" w:w="100"/>
              <w:left w:type="dxa" w:w="140"/>
              <w:bottom w:type="dxa" w:w="100"/>
              <w:right w:type="dxa" w:w="140"/>
            </w:tcMar>
          </w:tcPr>
          <w:p>
            <w:pPr>
              <w:spacing w:after="0"/>
            </w:pPr>
            <w:r>
              <w:rPr>
                <w:b/>
                <w:bCs/>
                <w:sz w:val="20"/>
                <w:szCs w:val="20"/>
              </w:rPr>
              <w:t xml:space="preserve">Verrouillage fournisseur</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Élevé (formats propriétaires)</w:t>
            </w:r>
          </w:p>
        </w:tc>
        <w:tc>
          <w:tcPr>
            <w:tcW w:type="dxa" w:w="3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Faible (PostgreSQL, ODK XForm — standards ouverts)</w:t>
            </w:r>
          </w:p>
        </w:tc>
      </w:tr>
    </w:tbl>
    <w:p>
      <w:pPr>
        <w:spacing w:after="0"/>
      </w:pPr>
    </w:p>
    <w:p>
      <w:pPr>
        <w:pStyle w:val="Heading1"/>
        <w:spacing w:after="200" w:before="360"/>
      </w:pPr>
      <w:r>
        <w:t xml:space="preserve">12. Coûts indicatifs (TCO 12 mois)</w:t>
      </w:r>
    </w:p>
    <w:p>
      <w:pPr>
        <w:spacing w:after="120"/>
      </w:pPr>
      <w:r>
        <w:t xml:space="preserve">Les chiffres ci-dessous concernent la seule infrastructure technique, hors prestation. Ils sont fournis à titre indicatif et seront à confirmer par devis.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Poste</w:t>
            </w:r>
          </w:p>
        </w:tc>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Coût mise en place</w:t>
            </w:r>
          </w:p>
        </w:tc>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Coût récurrent (mensuel)</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Prestation NextA (45 j × TJM*)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À chiffrer selon TJM</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Supabase Pro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25 USD (jusqu'à 100k MAU)</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Hébergement ODK Central (VPS 2 vCPU)</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 15 USD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Metabase Cloud (Starter)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 85 USD (ou self-hosted gratuit)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API MVola — frais de transaction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Selon contrat Telma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Selon volume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Maintenance évolutive (forfait)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0,5 à 1 j-h / mois</w:t>
            </w:r>
          </w:p>
        </w:tc>
      </w:tr>
      <w:tr>
        <w:tc>
          <w:tcPr>
            <w:tcW w:type="dxa" w:w="3120"/>
            <w:tcBorders>
              <w:top w:val="single" w:color="BFBFBF" w:sz="4"/>
              <w:left w:val="single" w:color="BFBFBF" w:sz="4"/>
              <w:bottom w:val="single" w:color="BFBFBF" w:sz="4"/>
              <w:right w:val="single" w:color="BFBFBF" w:sz="4"/>
            </w:tcBorders>
            <w:shd w:fill="F5B400" w:val="clear"/>
            <w:tcMar>
              <w:top w:type="dxa" w:w="100"/>
              <w:left w:type="dxa" w:w="140"/>
              <w:bottom w:type="dxa" w:w="100"/>
              <w:right w:type="dxa" w:w="140"/>
            </w:tcMar>
          </w:tcPr>
          <w:p>
            <w:pPr>
              <w:spacing w:after="0"/>
            </w:pPr>
            <w:r>
              <w:rPr>
                <w:b/>
                <w:bCs/>
                <w:sz w:val="20"/>
                <w:szCs w:val="20"/>
              </w:rPr>
              <w:t xml:space="preserve">Total infrastructure</w:t>
            </w:r>
          </w:p>
        </w:tc>
        <w:tc>
          <w:tcPr>
            <w:tcW w:type="dxa" w:w="3120"/>
            <w:tcBorders>
              <w:top w:val="single" w:color="BFBFBF" w:sz="4"/>
              <w:left w:val="single" w:color="BFBFBF" w:sz="4"/>
              <w:bottom w:val="single" w:color="BFBFBF" w:sz="4"/>
              <w:right w:val="single" w:color="BFBFBF" w:sz="4"/>
            </w:tcBorders>
            <w:shd w:fill="F5B400" w:val="clear"/>
            <w:tcMar>
              <w:top w:type="dxa" w:w="100"/>
              <w:left w:type="dxa" w:w="140"/>
              <w:bottom w:type="dxa" w:w="100"/>
              <w:right w:type="dxa" w:w="140"/>
            </w:tcMar>
          </w:tcPr>
          <w:p>
            <w:pPr>
              <w:spacing w:after="0"/>
            </w:pPr>
            <w:r>
              <w:rPr>
                <w:b/>
                <w:bCs/>
                <w:sz w:val="20"/>
                <w:szCs w:val="20"/>
              </w:rPr>
              <w:t xml:space="preserve">0–50 USD</w:t>
            </w:r>
          </w:p>
        </w:tc>
        <w:tc>
          <w:tcPr>
            <w:tcW w:type="dxa" w:w="3120"/>
            <w:tcBorders>
              <w:top w:val="single" w:color="BFBFBF" w:sz="4"/>
              <w:left w:val="single" w:color="BFBFBF" w:sz="4"/>
              <w:bottom w:val="single" w:color="BFBFBF" w:sz="4"/>
              <w:right w:val="single" w:color="BFBFBF" w:sz="4"/>
            </w:tcBorders>
            <w:shd w:fill="F5B400" w:val="clear"/>
            <w:tcMar>
              <w:top w:type="dxa" w:w="100"/>
              <w:left w:type="dxa" w:w="140"/>
              <w:bottom w:type="dxa" w:w="100"/>
              <w:right w:type="dxa" w:w="140"/>
            </w:tcMar>
          </w:tcPr>
          <w:p>
            <w:pPr>
              <w:spacing w:after="0"/>
            </w:pPr>
            <w:r>
              <w:rPr>
                <w:b/>
                <w:bCs/>
                <w:sz w:val="20"/>
                <w:szCs w:val="20"/>
              </w:rPr>
              <w:t xml:space="preserve">≈ 40–125 USD/mois</w:t>
            </w:r>
          </w:p>
        </w:tc>
      </w:tr>
    </w:tbl>
    <w:p>
      <w:pPr>
        <w:spacing w:after="0" w:before="100"/>
      </w:pPr>
      <w:r>
        <w:rPr>
          <w:i/>
          <w:iCs/>
          <w:color w:val="595959"/>
          <w:sz w:val="18"/>
          <w:szCs w:val="18"/>
        </w:rPr>
        <w:t xml:space="preserve">* TJM : à définir selon la grille tarifaire NextA. À comparer aux licences récurrentes Airtable Team (env. 20 USD/utilisateur/mois) qui peuvent rapidement dépasser le coût infrastructure de la variante.</w:t>
      </w:r>
    </w:p>
    <w:p>
      <w:pPr>
        <w:pStyle w:val="Heading1"/>
        <w:spacing w:after="200" w:before="360"/>
      </w:pPr>
      <w:r>
        <w:t xml:space="preserve">13. Risques et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Risque</w:t>
            </w:r>
          </w:p>
        </w:tc>
        <w:tc>
          <w:tcPr>
            <w:tcW w:type="dxa" w:w="15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Niveau</w:t>
            </w:r>
          </w:p>
        </w:tc>
        <w:tc>
          <w:tcPr>
            <w:tcW w:type="dxa" w:w="468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0"/>
              <w:jc w:val="center"/>
            </w:pPr>
            <w:r>
              <w:rPr>
                <w:b/>
                <w:bCs/>
                <w:color w:val="FFFFFF"/>
                <w:sz w:val="20"/>
                <w:szCs w:val="20"/>
              </w:rPr>
              <w:t xml:space="preserve">Mitigation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Délai initial plus long</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Moyen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Lancer le pilote MVola en parallèle de la PWA, livrer en deux temps (pointage en mois 1, paiement en mois 2).</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Dépendance API MVola (sandbox / prod)</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Élevé</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Engager le partenariat Telma dès la phase 1, prévoir un fallback export CSV pour bordereau bancaire.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Compétence interne pour reprendre la PWA</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Moyen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Documentation technique livrée, formation développeur ALTERRA en phase 6, code source remis avec licence claire.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Maintenance des intégrations (ODK ↔ Supabase)</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Faible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Webhook simple et stateless, supervisé via Healthchecks.io. Forfait maintenance NextA en option.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Adoption terrain (Agents)</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jc w:val="center"/>
            </w:pPr>
            <w:r>
              <w:rPr>
                <w:sz w:val="20"/>
                <w:szCs w:val="20"/>
              </w:rPr>
              <w:t xml:space="preserve">Faible</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szCs w:val="20"/>
              </w:rPr>
              <w:t xml:space="preserve">ODK Collect a une UX éprouvée. Formation 1/2 journée par site suffisante. Manuel illustré en malagasy.</w:t>
            </w:r>
          </w:p>
        </w:tc>
      </w:tr>
    </w:tbl>
    <w:p>
      <w:pPr>
        <w:spacing w:after="0"/>
      </w:pPr>
    </w:p>
    <w:p>
      <w:pPr>
        <w:pStyle w:val="Heading1"/>
        <w:spacing w:after="200" w:before="360"/>
      </w:pPr>
      <w:r>
        <w:t xml:space="preserve">14. Recommandations</w:t>
      </w:r>
    </w:p>
    <w:p>
      <w:pPr>
        <w:spacing w:after="120"/>
      </w:pPr>
      <w:r>
        <w:t xml:space="preserve">Trois scénarios de décision peuvent être présentés à ALTERRA :</w:t>
      </w:r>
    </w:p>
    <w:p>
      <w:pPr>
        <w:pStyle w:val="ListParagraph"/>
        <w:numPr>
          <w:ilvl w:val="0"/>
          <w:numId w:val="2"/>
        </w:numPr>
        <w:spacing w:after="80"/>
      </w:pPr>
      <w:r>
        <w:rPr>
          <w:b/>
          <w:bCs/>
        </w:rPr>
        <w:t xml:space="preserve">Scénario A — Pilote rapide. </w:t>
      </w:r>
      <w:r>
        <w:t xml:space="preserve">Conserver la proposition NextA initiale (Airtable + Jotform) pour valider le besoin sur 1–2 sites en moins d'un mois. À retenir si l'urgence opérationnelle prime sur la cible long terme.</w:t>
      </w:r>
    </w:p>
    <w:p>
      <w:pPr>
        <w:pStyle w:val="ListParagraph"/>
        <w:numPr>
          <w:ilvl w:val="0"/>
          <w:numId w:val="2"/>
        </w:numPr>
        <w:spacing w:after="80"/>
      </w:pPr>
      <w:r>
        <w:rPr>
          <w:b/>
          <w:bCs/>
        </w:rPr>
        <w:t xml:space="preserve">Scénario B — Variante d'emblée. </w:t>
      </w:r>
      <w:r>
        <w:t xml:space="preserve">Engager directement la stack ODK + Supabase + PWA + MVola. Délai de 9 semaines avant production, mais base solide pour 3 à 5 ans sans refonte. Recommandé si le déploiement vise rapidement plus de 100 travailleurs ou plus de 3 sites.</w:t>
      </w:r>
    </w:p>
    <w:p>
      <w:pPr>
        <w:pStyle w:val="ListParagraph"/>
        <w:numPr>
          <w:ilvl w:val="0"/>
          <w:numId w:val="2"/>
        </w:numPr>
        <w:spacing w:after="80"/>
      </w:pPr>
      <w:r>
        <w:rPr>
          <w:b/>
          <w:bCs/>
        </w:rPr>
        <w:t xml:space="preserve">Scénario C — Hybride progressif. </w:t>
      </w:r>
      <w:r>
        <w:t xml:space="preserve">Démarrer avec Airtable + Jotform pour le pilote, et planifier dès maintenant la migration vers la variante après 3 à 6 mois de production. Coût initial limité, mais nécessite de prévoir le budget de migration et d'éviter les développements Airtable trop spécifiques pendant la phase pilote.</w:t>
      </w:r>
    </w:p>
    <w:p>
      <w:pPr>
        <w:spacing w:after="120"/>
      </w:pPr>
      <w:r>
        <w:t xml:space="preserve">Notre recommandation est le Scénario B si le projet a vocation à servir plus d'une centaine de travailleurs et à intégrer le paiement MVola dès la première année. Pour un pilote très court terme (validation du concept), le Scénario A reste pertinent.</w:t>
      </w:r>
    </w:p>
    <w:p>
      <w:pPr>
        <w:pStyle w:val="Heading1"/>
        <w:spacing w:after="200" w:before="360"/>
      </w:pPr>
      <w:r>
        <w:t xml:space="preserve">Annexe — Liens et références</w:t>
      </w:r>
    </w:p>
    <w:p>
      <w:pPr>
        <w:pStyle w:val="ListParagraph"/>
        <w:numPr>
          <w:ilvl w:val="0"/>
          <w:numId w:val="2"/>
        </w:numPr>
        <w:spacing w:after="80"/>
      </w:pPr>
      <w:r>
        <w:t xml:space="preserve">ODK Collect &amp; ODK Central : https://getodk.org</w:t>
      </w:r>
    </w:p>
    <w:p>
      <w:pPr>
        <w:pStyle w:val="ListParagraph"/>
        <w:numPr>
          <w:ilvl w:val="0"/>
          <w:numId w:val="2"/>
        </w:numPr>
        <w:spacing w:after="80"/>
      </w:pPr>
      <w:r>
        <w:t xml:space="preserve">Supabase : https://supabase.com — alternative open-source à Firebase, basée sur PostgreSQL</w:t>
      </w:r>
    </w:p>
    <w:p>
      <w:pPr>
        <w:pStyle w:val="ListParagraph"/>
        <w:numPr>
          <w:ilvl w:val="0"/>
          <w:numId w:val="2"/>
        </w:numPr>
        <w:spacing w:after="80"/>
      </w:pPr>
      <w:r>
        <w:t xml:space="preserve">Metabase : https://www.metabase.com — BI open-source</w:t>
      </w:r>
    </w:p>
    <w:p>
      <w:pPr>
        <w:pStyle w:val="ListParagraph"/>
        <w:numPr>
          <w:ilvl w:val="0"/>
          <w:numId w:val="2"/>
        </w:numPr>
        <w:spacing w:after="80"/>
      </w:pPr>
      <w:r>
        <w:t xml:space="preserve">API MVola : https://developer.mvola.mg</w:t>
      </w:r>
    </w:p>
    <w:p>
      <w:pPr>
        <w:pStyle w:val="ListParagraph"/>
        <w:numPr>
          <w:ilvl w:val="0"/>
          <w:numId w:val="2"/>
        </w:numPr>
        <w:spacing w:after="80"/>
      </w:pPr>
      <w:r>
        <w:t xml:space="preserve">Loi malgache n° 2014-038 sur la protection des données à caractère personnel</w:t>
      </w:r>
    </w:p>
    <w:p>
      <w:pPr>
        <w:spacing w:after="120"/>
      </w:pPr>
      <w:r>
        <w:rPr>
          <w:i/>
          <w:iCs/>
          <w:color w:val="595959"/>
        </w:rPr>
        <w:t xml:space="preserve">Document de travail interne — </w:t>
      </w:r>
      <w:r>
        <w:rPr>
          <w:i/>
          <w:iCs/>
          <w:color w:val="595959"/>
        </w:rPr>
        <w:t xml:space="preserve">à valider avec NextA et le référent technique ALTERRA avant diffusion externe.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ALTERRA — Variante technique • Document de travail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ALTERRA — Variante technique</dc:title>
  <dc:creator>Thierry / NextA</dc:creator>
  <cp:lastModifiedBy>Un-named</cp:lastModifiedBy>
  <cp:revision>1</cp:revision>
  <dcterms:created xsi:type="dcterms:W3CDTF">2026-04-28T13:23:42.130Z</dcterms:created>
  <dcterms:modified xsi:type="dcterms:W3CDTF">2026-04-28T13:23:42.131Z</dcterms:modified>
</cp:coreProperties>
</file>

<file path=docProps/custom.xml><?xml version="1.0" encoding="utf-8"?>
<Properties xmlns="http://schemas.openxmlformats.org/officeDocument/2006/custom-properties" xmlns:vt="http://schemas.openxmlformats.org/officeDocument/2006/docPropsVTypes"/>
</file>