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831A" w14:textId="77777777" w:rsidR="00190D37" w:rsidRPr="00190D37" w:rsidRDefault="00190D37" w:rsidP="00190D37">
      <w:pPr>
        <w:jc w:val="center"/>
        <w:rPr>
          <w:rFonts w:ascii="Cambria" w:hAnsi="Cambria"/>
          <w:b/>
          <w:bCs/>
          <w:sz w:val="32"/>
          <w:szCs w:val="32"/>
        </w:rPr>
      </w:pPr>
      <w:r w:rsidRPr="00190D37">
        <w:rPr>
          <w:rFonts w:ascii="Cambria" w:hAnsi="Cambria"/>
          <w:b/>
          <w:bCs/>
          <w:sz w:val="32"/>
          <w:szCs w:val="32"/>
        </w:rPr>
        <w:t>Continuidade da Consulta e Participação dos Trabalhadores</w:t>
      </w:r>
    </w:p>
    <w:p w14:paraId="42EC754E" w14:textId="77777777" w:rsidR="00190D37" w:rsidRPr="00190D37" w:rsidRDefault="00190D37" w:rsidP="00190D37">
      <w:pPr>
        <w:rPr>
          <w:rFonts w:ascii="Cambria" w:hAnsi="Cambria"/>
          <w:b/>
          <w:bCs/>
        </w:rPr>
      </w:pPr>
      <w:r w:rsidRPr="00190D37">
        <w:rPr>
          <w:rFonts w:ascii="Cambria" w:hAnsi="Cambria"/>
          <w:b/>
          <w:bCs/>
        </w:rPr>
        <w:t>Enquadramento</w:t>
      </w:r>
    </w:p>
    <w:p w14:paraId="045D0ABB" w14:textId="77777777" w:rsidR="00190D37" w:rsidRPr="00190D37" w:rsidRDefault="00190D37" w:rsidP="00190D37">
      <w:pPr>
        <w:rPr>
          <w:rFonts w:ascii="Cambria" w:hAnsi="Cambria"/>
        </w:rPr>
      </w:pPr>
      <w:r w:rsidRPr="00190D37">
        <w:rPr>
          <w:rFonts w:ascii="Cambria" w:hAnsi="Cambria"/>
        </w:rPr>
        <w:t>A consulta aos trabalhadores constitui uma das principais ferramentas para promover a participação ativa dos colaboradores no Sistema de Gestão da Segurança e Saúde no Trabalho (SGSST), permitindo identificar perceções, preocupações, sugestões e oportunidades de melhoria relacionadas com as condições de trabalho.</w:t>
      </w:r>
    </w:p>
    <w:p w14:paraId="00714FCD" w14:textId="77777777" w:rsidR="00190D37" w:rsidRPr="00190D37" w:rsidRDefault="00190D37" w:rsidP="00190D37">
      <w:pPr>
        <w:rPr>
          <w:rFonts w:ascii="Cambria" w:hAnsi="Cambria"/>
        </w:rPr>
      </w:pPr>
      <w:r w:rsidRPr="00190D37">
        <w:rPr>
          <w:rFonts w:ascii="Cambria" w:hAnsi="Cambria"/>
        </w:rPr>
        <w:t>Contudo, a consulta não se encerra com a recolha das respostas. Para que este processo produza resultados efetivos e contribua para a melhoria contínua do sistema, é necessário proceder à análise e avaliação das informações obtidas.</w:t>
      </w:r>
    </w:p>
    <w:p w14:paraId="160F10DD" w14:textId="77777777" w:rsidR="00190D37" w:rsidRPr="00190D37" w:rsidRDefault="00190D37" w:rsidP="00190D37">
      <w:pPr>
        <w:rPr>
          <w:rFonts w:ascii="Cambria" w:hAnsi="Cambria"/>
        </w:rPr>
      </w:pPr>
      <w:r w:rsidRPr="00190D37">
        <w:rPr>
          <w:rFonts w:ascii="Cambria" w:hAnsi="Cambria"/>
        </w:rPr>
        <w:t>Após a conclusão da consulta, as respostas deverão ser compiladas e tratadas, recorrendo à elaboração de gráficos e indicadores que permitam uma interpretação clara dos resultados. Esta análise possibilita identificar tendências, os temas mais referidos pelos trabalhadores, áreas críticas, oportunidades de melhoria e aspetos que exigem intervenção por parte da organização.</w:t>
      </w:r>
    </w:p>
    <w:p w14:paraId="5B06BA43" w14:textId="77777777" w:rsidR="00190D37" w:rsidRPr="00190D37" w:rsidRDefault="00190D37" w:rsidP="00190D37">
      <w:pPr>
        <w:rPr>
          <w:rFonts w:ascii="Cambria" w:hAnsi="Cambria"/>
        </w:rPr>
      </w:pPr>
      <w:r w:rsidRPr="00190D37">
        <w:rPr>
          <w:rFonts w:ascii="Cambria" w:hAnsi="Cambria"/>
        </w:rPr>
        <w:t>Os resultados obtidos serão apresentados através de representações gráficas, facilitando a comunicação da informação e servindo de suporte à tomada de decisão pela Gestão.</w:t>
      </w:r>
    </w:p>
    <w:p w14:paraId="2C2488BA" w14:textId="77777777" w:rsidR="00190D37" w:rsidRPr="00190D37" w:rsidRDefault="00190D37" w:rsidP="00190D37">
      <w:pPr>
        <w:rPr>
          <w:rFonts w:ascii="Cambria" w:hAnsi="Cambria"/>
        </w:rPr>
      </w:pPr>
      <w:r w:rsidRPr="00190D37">
        <w:rPr>
          <w:rFonts w:ascii="Cambria" w:hAnsi="Cambria"/>
        </w:rPr>
        <w:t>Com base na análise realizada, deverá ser elaborado um Plano de Ação, no qual serão definidas as medidas necessárias para responder às situações identificadas, estabelecendo-se, para cada ação:</w:t>
      </w:r>
    </w:p>
    <w:p w14:paraId="109E046A" w14:textId="77777777" w:rsidR="00190D37" w:rsidRPr="00190D37" w:rsidRDefault="00190D37" w:rsidP="00190D37">
      <w:pPr>
        <w:numPr>
          <w:ilvl w:val="0"/>
          <w:numId w:val="1"/>
        </w:numPr>
        <w:rPr>
          <w:rFonts w:ascii="Cambria" w:hAnsi="Cambria"/>
        </w:rPr>
      </w:pPr>
      <w:r w:rsidRPr="00190D37">
        <w:rPr>
          <w:rFonts w:ascii="Cambria" w:hAnsi="Cambria"/>
        </w:rPr>
        <w:t>Objetivo da melhoria;</w:t>
      </w:r>
    </w:p>
    <w:p w14:paraId="191C1CDE" w14:textId="77777777" w:rsidR="00190D37" w:rsidRPr="00190D37" w:rsidRDefault="00190D37" w:rsidP="00190D37">
      <w:pPr>
        <w:numPr>
          <w:ilvl w:val="0"/>
          <w:numId w:val="1"/>
        </w:numPr>
        <w:rPr>
          <w:rFonts w:ascii="Cambria" w:hAnsi="Cambria"/>
        </w:rPr>
      </w:pPr>
      <w:r w:rsidRPr="00190D37">
        <w:rPr>
          <w:rFonts w:ascii="Cambria" w:hAnsi="Cambria"/>
        </w:rPr>
        <w:t>Ação a implementar;</w:t>
      </w:r>
    </w:p>
    <w:p w14:paraId="668C39A0" w14:textId="77777777" w:rsidR="00190D37" w:rsidRPr="00190D37" w:rsidRDefault="00190D37" w:rsidP="00190D37">
      <w:pPr>
        <w:numPr>
          <w:ilvl w:val="0"/>
          <w:numId w:val="1"/>
        </w:numPr>
        <w:rPr>
          <w:rFonts w:ascii="Cambria" w:hAnsi="Cambria"/>
        </w:rPr>
      </w:pPr>
      <w:r w:rsidRPr="00190D37">
        <w:rPr>
          <w:rFonts w:ascii="Cambria" w:hAnsi="Cambria"/>
        </w:rPr>
        <w:t>Responsável pela execução;</w:t>
      </w:r>
    </w:p>
    <w:p w14:paraId="2C8BAC2F" w14:textId="77777777" w:rsidR="00190D37" w:rsidRPr="00190D37" w:rsidRDefault="00190D37" w:rsidP="00190D37">
      <w:pPr>
        <w:numPr>
          <w:ilvl w:val="0"/>
          <w:numId w:val="1"/>
        </w:numPr>
        <w:rPr>
          <w:rFonts w:ascii="Cambria" w:hAnsi="Cambria"/>
        </w:rPr>
      </w:pPr>
      <w:r w:rsidRPr="00190D37">
        <w:rPr>
          <w:rFonts w:ascii="Cambria" w:hAnsi="Cambria"/>
        </w:rPr>
        <w:t>Prazo de implementação;</w:t>
      </w:r>
    </w:p>
    <w:p w14:paraId="055940A0" w14:textId="77777777" w:rsidR="00190D37" w:rsidRPr="00190D37" w:rsidRDefault="00190D37" w:rsidP="00190D37">
      <w:pPr>
        <w:numPr>
          <w:ilvl w:val="0"/>
          <w:numId w:val="1"/>
        </w:numPr>
        <w:rPr>
          <w:rFonts w:ascii="Cambria" w:hAnsi="Cambria"/>
        </w:rPr>
      </w:pPr>
      <w:r w:rsidRPr="00190D37">
        <w:rPr>
          <w:rFonts w:ascii="Cambria" w:hAnsi="Cambria"/>
        </w:rPr>
        <w:t>Recursos necessários;</w:t>
      </w:r>
    </w:p>
    <w:p w14:paraId="4C10DA6B" w14:textId="77777777" w:rsidR="00190D37" w:rsidRPr="00190D37" w:rsidRDefault="00190D37" w:rsidP="00190D37">
      <w:pPr>
        <w:numPr>
          <w:ilvl w:val="0"/>
          <w:numId w:val="1"/>
        </w:numPr>
        <w:rPr>
          <w:rFonts w:ascii="Cambria" w:hAnsi="Cambria"/>
        </w:rPr>
      </w:pPr>
      <w:r w:rsidRPr="00190D37">
        <w:rPr>
          <w:rFonts w:ascii="Cambria" w:hAnsi="Cambria"/>
        </w:rPr>
        <w:t>Método de acompanhamento;</w:t>
      </w:r>
    </w:p>
    <w:p w14:paraId="3D981FBA" w14:textId="77777777" w:rsidR="00190D37" w:rsidRPr="00190D37" w:rsidRDefault="00190D37" w:rsidP="00190D37">
      <w:pPr>
        <w:numPr>
          <w:ilvl w:val="0"/>
          <w:numId w:val="1"/>
        </w:numPr>
        <w:rPr>
          <w:rFonts w:ascii="Cambria" w:hAnsi="Cambria"/>
        </w:rPr>
      </w:pPr>
      <w:r w:rsidRPr="00190D37">
        <w:rPr>
          <w:rFonts w:ascii="Cambria" w:hAnsi="Cambria"/>
        </w:rPr>
        <w:t>Verificação da eficácia.</w:t>
      </w:r>
    </w:p>
    <w:p w14:paraId="1005E8C8" w14:textId="77777777" w:rsidR="00190D37" w:rsidRPr="00190D37" w:rsidRDefault="00190D37" w:rsidP="00190D37">
      <w:pPr>
        <w:rPr>
          <w:rFonts w:ascii="Cambria" w:hAnsi="Cambria"/>
        </w:rPr>
      </w:pPr>
      <w:r w:rsidRPr="00190D37">
        <w:rPr>
          <w:rFonts w:ascii="Cambria" w:hAnsi="Cambria"/>
        </w:rPr>
        <w:t>Este processo garante que as opiniões e sugestões dos trabalhadores são efetivamente consideradas na gestão da Segurança e Saúde no Trabalho, transformando a consulta numa ferramenta de melhoria contínua e assegurando o cumprimento do requisito 5.4 da NP EN ISO 45001:2018.</w:t>
      </w:r>
    </w:p>
    <w:p w14:paraId="4DBFFBB3" w14:textId="77777777" w:rsidR="00190D37" w:rsidRPr="00190D37" w:rsidRDefault="00190D37" w:rsidP="00190D37">
      <w:pPr>
        <w:rPr>
          <w:rFonts w:ascii="Cambria" w:hAnsi="Cambria"/>
          <w:b/>
          <w:bCs/>
        </w:rPr>
      </w:pPr>
      <w:r w:rsidRPr="00190D37">
        <w:rPr>
          <w:rFonts w:ascii="Cambria" w:hAnsi="Cambria"/>
          <w:b/>
          <w:bCs/>
        </w:rPr>
        <w:lastRenderedPageBreak/>
        <w:t>Sequência do processo</w:t>
      </w:r>
    </w:p>
    <w:p w14:paraId="5927E0F6" w14:textId="77777777" w:rsidR="00190D37" w:rsidRPr="00190D37" w:rsidRDefault="00190D37" w:rsidP="00190D37">
      <w:pPr>
        <w:numPr>
          <w:ilvl w:val="0"/>
          <w:numId w:val="2"/>
        </w:numPr>
        <w:rPr>
          <w:rFonts w:ascii="Cambria" w:hAnsi="Cambria"/>
        </w:rPr>
      </w:pPr>
      <w:r w:rsidRPr="00190D37">
        <w:rPr>
          <w:rFonts w:ascii="Cambria" w:hAnsi="Cambria"/>
        </w:rPr>
        <w:t>Consulta aos trabalhadores;</w:t>
      </w:r>
    </w:p>
    <w:p w14:paraId="69EE1C86" w14:textId="77777777" w:rsidR="00190D37" w:rsidRPr="00190D37" w:rsidRDefault="00190D37" w:rsidP="00190D37">
      <w:pPr>
        <w:numPr>
          <w:ilvl w:val="0"/>
          <w:numId w:val="2"/>
        </w:numPr>
        <w:rPr>
          <w:rFonts w:ascii="Cambria" w:hAnsi="Cambria"/>
        </w:rPr>
      </w:pPr>
      <w:r w:rsidRPr="00190D37">
        <w:rPr>
          <w:rFonts w:ascii="Cambria" w:hAnsi="Cambria"/>
        </w:rPr>
        <w:t>Compilação das respostas;</w:t>
      </w:r>
    </w:p>
    <w:p w14:paraId="6EC934BE" w14:textId="77777777" w:rsidR="00190D37" w:rsidRPr="00190D37" w:rsidRDefault="00190D37" w:rsidP="00190D37">
      <w:pPr>
        <w:numPr>
          <w:ilvl w:val="0"/>
          <w:numId w:val="2"/>
        </w:numPr>
        <w:rPr>
          <w:rFonts w:ascii="Cambria" w:hAnsi="Cambria"/>
        </w:rPr>
      </w:pPr>
      <w:r w:rsidRPr="00190D37">
        <w:rPr>
          <w:rFonts w:ascii="Cambria" w:hAnsi="Cambria"/>
        </w:rPr>
        <w:t>Análise e avaliação dos resultados;</w:t>
      </w:r>
    </w:p>
    <w:p w14:paraId="37F944BA" w14:textId="77777777" w:rsidR="00190D37" w:rsidRPr="00190D37" w:rsidRDefault="00190D37" w:rsidP="00190D37">
      <w:pPr>
        <w:numPr>
          <w:ilvl w:val="0"/>
          <w:numId w:val="2"/>
        </w:numPr>
        <w:rPr>
          <w:rFonts w:ascii="Cambria" w:hAnsi="Cambria"/>
        </w:rPr>
      </w:pPr>
      <w:r w:rsidRPr="00190D37">
        <w:rPr>
          <w:rFonts w:ascii="Cambria" w:hAnsi="Cambria"/>
        </w:rPr>
        <w:t>Elaboração de gráficos e indicadores;</w:t>
      </w:r>
    </w:p>
    <w:p w14:paraId="70CE5607" w14:textId="77777777" w:rsidR="00190D37" w:rsidRPr="00190D37" w:rsidRDefault="00190D37" w:rsidP="00190D37">
      <w:pPr>
        <w:numPr>
          <w:ilvl w:val="0"/>
          <w:numId w:val="2"/>
        </w:numPr>
        <w:rPr>
          <w:rFonts w:ascii="Cambria" w:hAnsi="Cambria"/>
        </w:rPr>
      </w:pPr>
      <w:r w:rsidRPr="00190D37">
        <w:rPr>
          <w:rFonts w:ascii="Cambria" w:hAnsi="Cambria"/>
        </w:rPr>
        <w:t>Identificação de oportunidades de melhoria;</w:t>
      </w:r>
    </w:p>
    <w:p w14:paraId="36C74F2B" w14:textId="77777777" w:rsidR="00190D37" w:rsidRPr="00190D37" w:rsidRDefault="00190D37" w:rsidP="00190D37">
      <w:pPr>
        <w:numPr>
          <w:ilvl w:val="0"/>
          <w:numId w:val="2"/>
        </w:numPr>
        <w:rPr>
          <w:rFonts w:ascii="Cambria" w:hAnsi="Cambria"/>
        </w:rPr>
      </w:pPr>
      <w:r w:rsidRPr="00190D37">
        <w:rPr>
          <w:rFonts w:ascii="Cambria" w:hAnsi="Cambria"/>
        </w:rPr>
        <w:t>Definição do Plano de Ação;</w:t>
      </w:r>
    </w:p>
    <w:p w14:paraId="1734EB95" w14:textId="77777777" w:rsidR="00190D37" w:rsidRPr="00190D37" w:rsidRDefault="00190D37" w:rsidP="00190D37">
      <w:pPr>
        <w:numPr>
          <w:ilvl w:val="0"/>
          <w:numId w:val="2"/>
        </w:numPr>
        <w:rPr>
          <w:rFonts w:ascii="Cambria" w:hAnsi="Cambria"/>
        </w:rPr>
      </w:pPr>
      <w:r w:rsidRPr="00190D37">
        <w:rPr>
          <w:rFonts w:ascii="Cambria" w:hAnsi="Cambria"/>
        </w:rPr>
        <w:t>Implementação das ações;</w:t>
      </w:r>
    </w:p>
    <w:p w14:paraId="643E6721" w14:textId="77777777" w:rsidR="00190D37" w:rsidRPr="00190D37" w:rsidRDefault="00190D37" w:rsidP="00190D37">
      <w:pPr>
        <w:numPr>
          <w:ilvl w:val="0"/>
          <w:numId w:val="2"/>
        </w:numPr>
        <w:rPr>
          <w:rFonts w:ascii="Cambria" w:hAnsi="Cambria"/>
        </w:rPr>
      </w:pPr>
      <w:r w:rsidRPr="00190D37">
        <w:rPr>
          <w:rFonts w:ascii="Cambria" w:hAnsi="Cambria"/>
        </w:rPr>
        <w:t>Verificação da eficácia e acompanhamento.</w:t>
      </w:r>
    </w:p>
    <w:p w14:paraId="698224F1" w14:textId="77777777" w:rsidR="00BB2286" w:rsidRPr="00190D37" w:rsidRDefault="00BB2286">
      <w:pPr>
        <w:rPr>
          <w:rFonts w:ascii="Cambria" w:hAnsi="Cambria"/>
        </w:rPr>
      </w:pPr>
    </w:p>
    <w:sectPr w:rsidR="00BB2286" w:rsidRPr="00190D3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7BA9E" w14:textId="77777777" w:rsidR="005A09F1" w:rsidRDefault="005A09F1" w:rsidP="00190D37">
      <w:pPr>
        <w:spacing w:after="0" w:line="240" w:lineRule="auto"/>
      </w:pPr>
      <w:r>
        <w:separator/>
      </w:r>
    </w:p>
  </w:endnote>
  <w:endnote w:type="continuationSeparator" w:id="0">
    <w:p w14:paraId="4866C135" w14:textId="77777777" w:rsidR="005A09F1" w:rsidRDefault="005A09F1" w:rsidP="00190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ED8C5" w14:textId="77777777" w:rsidR="005A09F1" w:rsidRDefault="005A09F1" w:rsidP="00190D37">
      <w:pPr>
        <w:spacing w:after="0" w:line="240" w:lineRule="auto"/>
      </w:pPr>
      <w:r>
        <w:separator/>
      </w:r>
    </w:p>
  </w:footnote>
  <w:footnote w:type="continuationSeparator" w:id="0">
    <w:p w14:paraId="7237D47D" w14:textId="77777777" w:rsidR="005A09F1" w:rsidRDefault="005A09F1" w:rsidP="00190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A0AE1" w14:textId="5F068A80" w:rsidR="00190D37" w:rsidRDefault="00190D37" w:rsidP="00190D37">
    <w:pPr>
      <w:pStyle w:val="Cabealho"/>
      <w:jc w:val="center"/>
      <w:rPr>
        <w:rFonts w:ascii="Cambria" w:hAnsi="Cambria"/>
      </w:rPr>
    </w:pPr>
    <w:r w:rsidRPr="00190D37">
      <w:rPr>
        <w:rFonts w:ascii="Cambria" w:hAnsi="Cambria"/>
        <w:noProof/>
      </w:rPr>
      <w:drawing>
        <wp:anchor distT="0" distB="0" distL="114300" distR="114300" simplePos="0" relativeHeight="251658240" behindDoc="0" locked="0" layoutInCell="1" allowOverlap="1" wp14:anchorId="5E096E80" wp14:editId="1CA594EA">
          <wp:simplePos x="0" y="0"/>
          <wp:positionH relativeFrom="column">
            <wp:posOffset>2120265</wp:posOffset>
          </wp:positionH>
          <wp:positionV relativeFrom="paragraph">
            <wp:posOffset>-434340</wp:posOffset>
          </wp:positionV>
          <wp:extent cx="922020" cy="922020"/>
          <wp:effectExtent l="0" t="0" r="0" b="0"/>
          <wp:wrapNone/>
          <wp:docPr id="11331611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3161119" name="Imagem 11331611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020" cy="922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8AC194" w14:textId="77777777" w:rsidR="00190D37" w:rsidRDefault="00190D37" w:rsidP="00190D37">
    <w:pPr>
      <w:pStyle w:val="Cabealho"/>
      <w:jc w:val="center"/>
      <w:rPr>
        <w:rFonts w:ascii="Cambria" w:hAnsi="Cambria"/>
      </w:rPr>
    </w:pPr>
  </w:p>
  <w:p w14:paraId="207B2748" w14:textId="6AA39608" w:rsidR="00190D37" w:rsidRDefault="00190D37" w:rsidP="00190D37">
    <w:pPr>
      <w:pStyle w:val="Cabealho"/>
      <w:jc w:val="center"/>
      <w:rPr>
        <w:rFonts w:ascii="Cambria" w:hAnsi="Cambria"/>
      </w:rPr>
    </w:pPr>
  </w:p>
  <w:p w14:paraId="4B15A581" w14:textId="76D83217" w:rsidR="00190D37" w:rsidRDefault="00190D37" w:rsidP="00190D37">
    <w:pPr>
      <w:pStyle w:val="Cabealho"/>
      <w:jc w:val="center"/>
      <w:rPr>
        <w:rFonts w:ascii="Cambria" w:hAnsi="Cambria"/>
      </w:rPr>
    </w:pPr>
    <w:r w:rsidRPr="00190D37">
      <w:rPr>
        <w:rFonts w:ascii="Cambria" w:hAnsi="Cambria"/>
      </w:rPr>
      <w:t>INTEGRA – INTEGRAÇÃO DE SISTEMAS DE GESTÃO</w:t>
    </w:r>
  </w:p>
  <w:p w14:paraId="2520B37F" w14:textId="77777777" w:rsidR="00190D37" w:rsidRPr="00190D37" w:rsidRDefault="00190D37" w:rsidP="00190D37">
    <w:pPr>
      <w:pStyle w:val="Cabealho"/>
      <w:jc w:val="center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420FC"/>
    <w:multiLevelType w:val="multilevel"/>
    <w:tmpl w:val="5A98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340A2"/>
    <w:multiLevelType w:val="multilevel"/>
    <w:tmpl w:val="762C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694487">
    <w:abstractNumId w:val="0"/>
  </w:num>
  <w:num w:numId="2" w16cid:durableId="811941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60"/>
    <w:rsid w:val="00074A94"/>
    <w:rsid w:val="00190D37"/>
    <w:rsid w:val="003E0D18"/>
    <w:rsid w:val="005A09F1"/>
    <w:rsid w:val="00BB2286"/>
    <w:rsid w:val="00BC5FBA"/>
    <w:rsid w:val="00CF0D60"/>
    <w:rsid w:val="00D201D2"/>
    <w:rsid w:val="00F4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CED275"/>
  <w15:chartTrackingRefBased/>
  <w15:docId w15:val="{BFD48322-4936-4AFD-945E-FD7A52F8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BC5FBA"/>
    <w:pPr>
      <w:keepNext/>
      <w:keepLines/>
      <w:spacing w:before="360" w:after="80"/>
      <w:jc w:val="center"/>
      <w:outlineLvl w:val="0"/>
    </w:pPr>
    <w:rPr>
      <w:rFonts w:ascii="Cambria" w:eastAsiaTheme="majorEastAsia" w:hAnsi="Cambria" w:cstheme="majorBidi"/>
      <w:b/>
      <w:bCs/>
      <w:sz w:val="36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F0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F0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F0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F0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F0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F0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F0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F0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5FBA"/>
    <w:rPr>
      <w:rFonts w:ascii="Cambria" w:eastAsiaTheme="majorEastAsia" w:hAnsi="Cambria" w:cstheme="majorBidi"/>
      <w:b/>
      <w:bCs/>
      <w:sz w:val="36"/>
      <w:szCs w:val="40"/>
    </w:rPr>
  </w:style>
  <w:style w:type="paragraph" w:styleId="Subttulo">
    <w:name w:val="Subtitle"/>
    <w:basedOn w:val="Normal"/>
    <w:next w:val="Normal"/>
    <w:link w:val="SubttuloCarter"/>
    <w:autoRedefine/>
    <w:uiPriority w:val="11"/>
    <w:qFormat/>
    <w:rsid w:val="00BC5FBA"/>
    <w:pPr>
      <w:numPr>
        <w:ilvl w:val="1"/>
      </w:numPr>
    </w:pPr>
    <w:rPr>
      <w:rFonts w:ascii="Cambria" w:eastAsiaTheme="majorEastAsia" w:hAnsi="Cambria" w:cstheme="majorBidi"/>
      <w:b/>
      <w:spacing w:val="15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5FBA"/>
    <w:rPr>
      <w:rFonts w:ascii="Cambria" w:eastAsiaTheme="majorEastAsia" w:hAnsi="Cambria" w:cstheme="majorBidi"/>
      <w:b/>
      <w:spacing w:val="15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F0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F0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F0D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F0D6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F0D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F0D6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F0D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F0D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F0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F0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arter"/>
    <w:uiPriority w:val="29"/>
    <w:qFormat/>
    <w:rsid w:val="00CF0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F0D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0D6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F0D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F0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F0D6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F0D6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190D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90D37"/>
  </w:style>
  <w:style w:type="paragraph" w:styleId="Rodap">
    <w:name w:val="footer"/>
    <w:basedOn w:val="Normal"/>
    <w:link w:val="RodapCarter"/>
    <w:uiPriority w:val="99"/>
    <w:unhideWhenUsed/>
    <w:rsid w:val="00190D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90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THIFFANY GONÇALVES</dc:creator>
  <cp:keywords/>
  <dc:description/>
  <cp:lastModifiedBy>THIFFANY GONÇALVES</cp:lastModifiedBy>
  <cp:revision>2</cp:revision>
  <dcterms:created xsi:type="dcterms:W3CDTF">2026-07-16T09:30:00Z</dcterms:created>
  <dcterms:modified xsi:type="dcterms:W3CDTF">2026-07-16T09:32:00Z</dcterms:modified>
</cp:coreProperties>
</file>