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9158" w14:textId="42419767" w:rsidR="008515C0" w:rsidRDefault="008515C0"/>
    <w:p w14:paraId="695A2FA5" w14:textId="43E2B5FE" w:rsidR="00DE4D8B" w:rsidRDefault="00DE4D8B"/>
    <w:p w14:paraId="304256AB" w14:textId="5F7F4192" w:rsidR="00DE4D8B" w:rsidRDefault="00000000" w:rsidP="00355CA5">
      <w:pPr>
        <w:jc w:val="center"/>
      </w:pPr>
      <w:hyperlink r:id="rId5" w:history="1">
        <w:r w:rsidR="00DE4D8B" w:rsidRPr="00355CA5">
          <w:rPr>
            <w:rStyle w:val="Hyperlink"/>
          </w:rPr>
          <w:t>Paper: An accurate charging model of battery energy storage</w:t>
        </w:r>
      </w:hyperlink>
    </w:p>
    <w:p w14:paraId="3466B1AE" w14:textId="62BB424A" w:rsidR="00DE4D8B" w:rsidRDefault="00DE4D8B"/>
    <w:p w14:paraId="55C5D542" w14:textId="48D3A5BB" w:rsidR="00DE4D8B" w:rsidRDefault="00DE4D8B" w:rsidP="00DE4D8B">
      <w:pPr>
        <w:pStyle w:val="ListParagraph"/>
        <w:numPr>
          <w:ilvl w:val="0"/>
          <w:numId w:val="1"/>
        </w:numPr>
      </w:pPr>
      <w:r>
        <w:t>Explore dependency of charging on SOE</w:t>
      </w:r>
    </w:p>
    <w:p w14:paraId="68B0FC28" w14:textId="661E24F1" w:rsidR="00DE4D8B" w:rsidRDefault="00DE4D8B" w:rsidP="00DE4D8B">
      <w:pPr>
        <w:pStyle w:val="ListParagraph"/>
        <w:numPr>
          <w:ilvl w:val="0"/>
          <w:numId w:val="1"/>
        </w:numPr>
      </w:pPr>
      <w:r>
        <w:t>Bridge gap between low-level battery charging constraints and high-</w:t>
      </w:r>
      <w:r w:rsidR="003D26CA">
        <w:t>level</w:t>
      </w:r>
      <w:r>
        <w:t xml:space="preserve"> battery operation models</w:t>
      </w:r>
    </w:p>
    <w:p w14:paraId="3A4E2A3E" w14:textId="188EA368" w:rsidR="00DE4D8B" w:rsidRDefault="00DE4D8B" w:rsidP="00DE4D8B">
      <w:pPr>
        <w:pStyle w:val="ListParagraph"/>
        <w:numPr>
          <w:ilvl w:val="0"/>
          <w:numId w:val="1"/>
        </w:numPr>
      </w:pPr>
      <w:r>
        <w:t>LP that captures variable battery charging limit that can be incorporated into battery operation/investment planning model</w:t>
      </w:r>
    </w:p>
    <w:p w14:paraId="03873E2A" w14:textId="30D22FC0" w:rsidR="00DE4D8B" w:rsidRDefault="00DE4D8B" w:rsidP="00DE4D8B">
      <w:pPr>
        <w:pStyle w:val="ListParagraph"/>
        <w:numPr>
          <w:ilvl w:val="0"/>
          <w:numId w:val="1"/>
        </w:numPr>
      </w:pPr>
      <w:r>
        <w:t>Three models (</w:t>
      </w:r>
      <w:proofErr w:type="spellStart"/>
      <w:r>
        <w:t>i</w:t>
      </w:r>
      <w:proofErr w:type="spellEnd"/>
      <w:r>
        <w:t xml:space="preserve">) constant charging limit  (ii) charging power limit with linear reduction at constant voltage </w:t>
      </w:r>
      <w:proofErr w:type="spellStart"/>
      <w:r>
        <w:t>paat</w:t>
      </w:r>
      <w:proofErr w:type="spellEnd"/>
      <w:r>
        <w:t xml:space="preserve"> of charging curve (iii) piecewise linear approximation of available charging energy (as </w:t>
      </w:r>
      <w:proofErr w:type="spellStart"/>
      <w:r>
        <w:t>proposted</w:t>
      </w:r>
      <w:proofErr w:type="spellEnd"/>
      <w:r>
        <w:t xml:space="preserve"> in the paper)</w:t>
      </w:r>
    </w:p>
    <w:p w14:paraId="0A7EA422" w14:textId="5D5FA102" w:rsidR="00DE4D8B" w:rsidRDefault="00DE4D8B" w:rsidP="00DE4D8B">
      <w:pPr>
        <w:pStyle w:val="ListParagraph"/>
        <w:numPr>
          <w:ilvl w:val="0"/>
          <w:numId w:val="1"/>
        </w:numPr>
      </w:pPr>
      <w:r>
        <w:t xml:space="preserve">Battery SOC(State of charge) SOE same thing: amount of energy stored </w:t>
      </w:r>
      <w:proofErr w:type="spellStart"/>
      <w:r>
        <w:t>wrt</w:t>
      </w:r>
      <w:proofErr w:type="spellEnd"/>
      <w:r>
        <w:t xml:space="preserve"> charge that battery </w:t>
      </w:r>
      <w:r w:rsidR="003D26CA">
        <w:t>contains</w:t>
      </w:r>
      <w:r>
        <w:t xml:space="preserve"> when fully charged</w:t>
      </w:r>
    </w:p>
    <w:p w14:paraId="4AFB4A5C" w14:textId="62570629" w:rsidR="00DE4D8B" w:rsidRPr="003D26CA" w:rsidRDefault="00000000" w:rsidP="00DE4D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 xml:space="preserve"> soe 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 xml:space="preserve"> soe 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p>
          </m:sSup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ch</m:t>
          </m:r>
          <m:r>
            <w:rPr>
              <w:rFonts w:ascii="Cambria Math" w:hAnsi="Cambria Math"/>
            </w:rPr>
            <m:t>⁡(τ)dτ-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dis(τ)dτ</m:t>
          </m:r>
          <m:r>
            <m:rPr>
              <m:nor/>
            </m:rPr>
            <m:t>.</m:t>
          </m:r>
        </m:oMath>
      </m:oMathPara>
    </w:p>
    <w:p w14:paraId="3F943D25" w14:textId="2F620F42" w:rsidR="003D26CA" w:rsidRPr="003D26CA" w:rsidRDefault="00000000" w:rsidP="00DE4D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fd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 </m:t>
                  </m:r>
                </m:e>
              </m:nary>
              <m:r>
                <w:rPr>
                  <w:rFonts w:ascii="Cambria Math" w:eastAsiaTheme="minorEastAsia" w:hAnsi="Cambria Math"/>
                </w:rPr>
                <m:t>dis(τ)dτ</m:t>
              </m:r>
            </m:num>
            <m:den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fc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ch</m:t>
              </m:r>
              <m:r>
                <w:rPr>
                  <w:rFonts w:ascii="Cambria Math" w:eastAsiaTheme="minorEastAsia" w:hAnsi="Cambria Math"/>
                </w:rPr>
                <m:t>⁡(τ)dτ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68FE583D" w14:textId="008C1912" w:rsidR="003D26CA" w:rsidRDefault="003D26CA" w:rsidP="00DE4D8B">
      <w:pPr>
        <w:rPr>
          <w:rFonts w:eastAsiaTheme="minorEastAsia"/>
        </w:rPr>
      </w:pPr>
    </w:p>
    <w:p w14:paraId="19AA7326" w14:textId="77777777" w:rsidR="003D26CA" w:rsidRPr="00DE4D8B" w:rsidRDefault="003D26CA" w:rsidP="00DE4D8B">
      <w:pPr>
        <w:rPr>
          <w:rFonts w:eastAsiaTheme="minorEastAsia"/>
        </w:rPr>
      </w:pPr>
    </w:p>
    <w:p w14:paraId="3BF08A08" w14:textId="0F64F114" w:rsidR="00DE4D8B" w:rsidRDefault="00DE4D8B" w:rsidP="00DE4D8B">
      <w:pPr>
        <w:rPr>
          <w:rFonts w:eastAsiaTheme="minorEastAsia"/>
        </w:rPr>
      </w:pPr>
      <w:r>
        <w:rPr>
          <w:rFonts w:eastAsiaTheme="minorEastAsia"/>
        </w:rPr>
        <w:tab/>
        <w:t>SOE is in Watt hours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Round trip efficiency 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verifiedexperimentally in paper)</m:t>
        </m:r>
      </m:oMath>
    </w:p>
    <w:p w14:paraId="223B94F5" w14:textId="62CE391E" w:rsidR="003D26CA" w:rsidRDefault="003D26CA" w:rsidP="00DE4D8B">
      <w:pPr>
        <w:rPr>
          <w:rFonts w:eastAsiaTheme="minorEastAsia"/>
        </w:rPr>
      </w:pPr>
    </w:p>
    <w:p w14:paraId="1C7223FE" w14:textId="16F92F62" w:rsidR="003D26CA" w:rsidRDefault="003D26CA" w:rsidP="00DE4D8B">
      <w:pPr>
        <w:rPr>
          <w:rFonts w:eastAsiaTheme="minorEastAsia"/>
        </w:rPr>
      </w:pPr>
      <w:r>
        <w:rPr>
          <w:rFonts w:eastAsiaTheme="minorEastAsia"/>
        </w:rPr>
        <w:t>Battery operation model formulations (energy storage bidding model)</w:t>
      </w:r>
    </w:p>
    <w:p w14:paraId="06E0C1D3" w14:textId="327AC7C7" w:rsidR="003D26CA" w:rsidRDefault="003D26CA" w:rsidP="00DE4D8B">
      <w:pPr>
        <w:rPr>
          <w:rFonts w:eastAsiaTheme="minorEastAsia"/>
        </w:rPr>
      </w:pPr>
      <w:r>
        <w:rPr>
          <w:rFonts w:eastAsiaTheme="minorEastAsia"/>
        </w:rPr>
        <w:t>Assumptions: the day-head only market is considered, energy storage max profit by energy arbitrage. Energy storage is price taker and cannot affect market prices(known in advance, not stochastic)</w:t>
      </w:r>
    </w:p>
    <w:p w14:paraId="184C249D" w14:textId="3C256969" w:rsidR="003D26CA" w:rsidRDefault="003D26CA" w:rsidP="00DE4D8B">
      <w:pPr>
        <w:rPr>
          <w:rFonts w:eastAsiaTheme="minorEastAsia"/>
        </w:rPr>
      </w:pPr>
    </w:p>
    <w:p w14:paraId="10260F72" w14:textId="44EABC7D" w:rsidR="003D26CA" w:rsidRDefault="003D26CA" w:rsidP="003D26CA">
      <w:pPr>
        <w:pStyle w:val="ListParagraph"/>
        <w:numPr>
          <w:ilvl w:val="0"/>
          <w:numId w:val="2"/>
        </w:numPr>
      </w:pPr>
      <w:r>
        <w:t xml:space="preserve">Constant charging power limit </w:t>
      </w:r>
    </w:p>
    <w:p w14:paraId="7C4DE332" w14:textId="5BAD4D8D" w:rsidR="003D26CA" w:rsidRDefault="003D26CA" w:rsidP="003D26CA">
      <w:pPr>
        <w:pStyle w:val="ListParagraph"/>
      </w:pPr>
      <w:r w:rsidRPr="003D26CA">
        <w:rPr>
          <w:noProof/>
        </w:rPr>
        <w:drawing>
          <wp:inline distT="0" distB="0" distL="0" distR="0" wp14:anchorId="6366D382" wp14:editId="43C4458F">
            <wp:extent cx="6852468" cy="1883121"/>
            <wp:effectExtent l="0" t="0" r="0" b="0"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7548" cy="18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F975" w14:textId="6262D22C" w:rsidR="003D26CA" w:rsidRDefault="003D26CA" w:rsidP="003D26CA">
      <w:pPr>
        <w:pStyle w:val="ListParagraph"/>
      </w:pPr>
    </w:p>
    <w:p w14:paraId="59024EA1" w14:textId="0A62AB36" w:rsidR="00144621" w:rsidRDefault="00144621" w:rsidP="00144621">
      <w:r>
        <w:tab/>
        <w:t>C^E is battery energy capacity</w:t>
      </w:r>
    </w:p>
    <w:p w14:paraId="064EFCFB" w14:textId="1F4BCBCE" w:rsidR="00144621" w:rsidRDefault="00144621" w:rsidP="00144621"/>
    <w:p w14:paraId="39D64E2A" w14:textId="6D81812A" w:rsidR="00144621" w:rsidRDefault="00144621" w:rsidP="00144621"/>
    <w:p w14:paraId="1C451548" w14:textId="77777777" w:rsidR="00144621" w:rsidRDefault="00144621" w:rsidP="00144621"/>
    <w:p w14:paraId="0425C591" w14:textId="1E08F742" w:rsidR="003D26CA" w:rsidRDefault="003D26CA" w:rsidP="003D26CA">
      <w:pPr>
        <w:pStyle w:val="ListParagraph"/>
        <w:numPr>
          <w:ilvl w:val="0"/>
          <w:numId w:val="2"/>
        </w:numPr>
      </w:pPr>
      <w:r>
        <w:lastRenderedPageBreak/>
        <w:t>Re</w:t>
      </w:r>
      <w:r w:rsidR="00144621">
        <w:t>ducing Charging Power (Linear CC-CV const current, voltage model)</w:t>
      </w:r>
    </w:p>
    <w:p w14:paraId="3231AE45" w14:textId="1A172E4F" w:rsidR="00144621" w:rsidRDefault="00144621" w:rsidP="00144621"/>
    <w:p w14:paraId="06584BCB" w14:textId="30573E97" w:rsidR="00144621" w:rsidRDefault="00144621" w:rsidP="00144621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ch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-so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-SO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cv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t∈T</m:t>
          </m:r>
        </m:oMath>
      </m:oMathPara>
    </w:p>
    <w:p w14:paraId="28E03FF4" w14:textId="700EB9E1" w:rsidR="00144621" w:rsidRPr="00144621" w:rsidRDefault="00144621" w:rsidP="001446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cc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cv</m:t>
              </m:r>
            </m:sup>
          </m:sSup>
          <m:r>
            <w:rPr>
              <w:rFonts w:ascii="Cambria Math" w:hAnsi="Cambria Math"/>
            </w:rPr>
            <m:t xml:space="preserve"> is SOE where cc→cv. restriction kicks  when SOE&gt;SO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cc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cv</m:t>
              </m:r>
            </m:sup>
          </m:sSup>
        </m:oMath>
      </m:oMathPara>
    </w:p>
    <w:p w14:paraId="7FFDF15C" w14:textId="4C2143BE" w:rsidR="00144621" w:rsidRDefault="00144621" w:rsidP="00144621">
      <w:pPr>
        <w:rPr>
          <w:rFonts w:eastAsiaTheme="minorEastAsia"/>
        </w:rPr>
      </w:pPr>
    </w:p>
    <w:p w14:paraId="3330AA77" w14:textId="00C8E42E" w:rsidR="00144621" w:rsidRDefault="00144621" w:rsidP="00144621">
      <w:pPr>
        <w:pStyle w:val="ListParagraph"/>
        <w:numPr>
          <w:ilvl w:val="0"/>
          <w:numId w:val="2"/>
        </w:numPr>
      </w:pPr>
      <w:r>
        <w:t>Model with energy charging limit</w:t>
      </w:r>
    </w:p>
    <w:p w14:paraId="35E66FC9" w14:textId="262F57CE" w:rsidR="00144621" w:rsidRDefault="00144621" w:rsidP="00144621">
      <w:pPr>
        <w:ind w:left="720"/>
      </w:pPr>
    </w:p>
    <w:p w14:paraId="01484658" w14:textId="208597FB" w:rsidR="00144621" w:rsidRDefault="006C7C2D" w:rsidP="00144621">
      <w:pPr>
        <w:pStyle w:val="ListParagraph"/>
        <w:numPr>
          <w:ilvl w:val="0"/>
          <w:numId w:val="1"/>
        </w:numPr>
      </w:pPr>
      <w:r>
        <w:t>Based on battery ability to absorb energy as function of SOE. Delta SOE vs SOE non-linear curve</w:t>
      </w:r>
    </w:p>
    <w:p w14:paraId="5029A0C5" w14:textId="702C2A66" w:rsidR="006C7C2D" w:rsidRDefault="006C7C2D" w:rsidP="00144621">
      <w:pPr>
        <w:pStyle w:val="ListParagraph"/>
        <w:numPr>
          <w:ilvl w:val="0"/>
          <w:numId w:val="1"/>
        </w:numPr>
      </w:pPr>
      <w:r>
        <w:t>Piecewise linear approximation</w:t>
      </w:r>
    </w:p>
    <w:p w14:paraId="6963833D" w14:textId="52705C27" w:rsidR="006C7C2D" w:rsidRDefault="006C7C2D" w:rsidP="006C7C2D">
      <w:r>
        <w:t>Same as (1) without first constraint but add</w:t>
      </w:r>
    </w:p>
    <w:p w14:paraId="71F7B915" w14:textId="2B7374C8" w:rsidR="00144621" w:rsidRDefault="006C7C2D" w:rsidP="00144621">
      <w:r w:rsidRPr="006C7C2D">
        <w:rPr>
          <w:noProof/>
        </w:rPr>
        <w:drawing>
          <wp:inline distT="0" distB="0" distL="0" distR="0" wp14:anchorId="2343E278" wp14:editId="44164F38">
            <wp:extent cx="5943600" cy="2707640"/>
            <wp:effectExtent l="0" t="0" r="0" b="0"/>
            <wp:docPr id="2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D41B" w14:textId="35FCD32C" w:rsidR="006C7C2D" w:rsidRDefault="006C7C2D" w:rsidP="00144621"/>
    <w:p w14:paraId="3F3DFDC6" w14:textId="38ADEFB6" w:rsidR="006C7C2D" w:rsidRPr="00355CA5" w:rsidRDefault="00000000" w:rsidP="00144621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 xml:space="preserve"> soe 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 xml:space="preserve"> soe 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t∈T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 xml:space="preserve"> soe 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t∈T,i∈I 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for each piece, each time period)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 xml:space="preserve"> soe 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 xml:space="preserve"> soe </m:t>
                  </m:r>
                </m:e>
                <m:sub>
                  <m:r>
                    <w:rPr>
                      <w:rFonts w:ascii="Cambria Math" w:hAnsi="Cambria Math"/>
                    </w:rPr>
                    <m:t>t-1,i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t∈T 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charging ability each period)</m:t>
                  </m:r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so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t∈T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charging rate</m:t>
                  </m:r>
                </m:e>
              </m:d>
            </m:e>
          </m:eqArr>
        </m:oMath>
      </m:oMathPara>
    </w:p>
    <w:p w14:paraId="03D1F356" w14:textId="2870D208" w:rsidR="00355CA5" w:rsidRDefault="00355CA5" w:rsidP="00144621">
      <w:pPr>
        <w:rPr>
          <w:rFonts w:eastAsiaTheme="minorEastAsia"/>
        </w:rPr>
      </w:pPr>
    </w:p>
    <w:p w14:paraId="0B3641B2" w14:textId="36CAC43F" w:rsidR="00355CA5" w:rsidRDefault="00355CA5" w:rsidP="00144621">
      <w:pPr>
        <w:rPr>
          <w:rFonts w:eastAsiaTheme="minorEastAsia"/>
        </w:rPr>
      </w:pPr>
      <w:r>
        <w:rPr>
          <w:rFonts w:eastAsiaTheme="minorEastAsia"/>
        </w:rPr>
        <w:t>Case studies: Fictional 10MWh battery acting in EPEX day-head market</w:t>
      </w:r>
    </w:p>
    <w:p w14:paraId="2BA296D5" w14:textId="17813390" w:rsidR="00355CA5" w:rsidRDefault="00355CA5" w:rsidP="00144621">
      <w:pPr>
        <w:rPr>
          <w:rFonts w:eastAsiaTheme="minorEastAsia"/>
        </w:rPr>
      </w:pPr>
    </w:p>
    <w:p w14:paraId="52A3C80B" w14:textId="7CC4D0D8" w:rsidR="00355CA5" w:rsidRDefault="00355CA5" w:rsidP="00144621">
      <w:r w:rsidRPr="00355CA5">
        <w:rPr>
          <w:noProof/>
        </w:rPr>
        <w:lastRenderedPageBreak/>
        <w:drawing>
          <wp:inline distT="0" distB="0" distL="0" distR="0" wp14:anchorId="258CE3A9" wp14:editId="2906812B">
            <wp:extent cx="3289300" cy="1244600"/>
            <wp:effectExtent l="0" t="0" r="0" b="0"/>
            <wp:docPr id="3" name="Picture 3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834"/>
    <w:multiLevelType w:val="hybridMultilevel"/>
    <w:tmpl w:val="010EF768"/>
    <w:lvl w:ilvl="0" w:tplc="84563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6AF"/>
    <w:multiLevelType w:val="hybridMultilevel"/>
    <w:tmpl w:val="CBA4DBCA"/>
    <w:lvl w:ilvl="0" w:tplc="89DC3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10708">
    <w:abstractNumId w:val="0"/>
  </w:num>
  <w:num w:numId="2" w16cid:durableId="117515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8B"/>
    <w:rsid w:val="00037F85"/>
    <w:rsid w:val="00144621"/>
    <w:rsid w:val="00355CA5"/>
    <w:rsid w:val="003D26CA"/>
    <w:rsid w:val="005E4185"/>
    <w:rsid w:val="006C7C2D"/>
    <w:rsid w:val="008515C0"/>
    <w:rsid w:val="00D35D48"/>
    <w:rsid w:val="00DE4D8B"/>
    <w:rsid w:val="00E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AE214"/>
  <w15:chartTrackingRefBased/>
  <w15:docId w15:val="{9F679D80-BFB3-8741-91E3-A3084B52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26C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55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vbass.fer.hr/images/site_4351/An%20Accurate%20Charging%20Model%20of%20Battery%20Energy%20Storag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2</cp:revision>
  <dcterms:created xsi:type="dcterms:W3CDTF">2023-08-29T23:28:00Z</dcterms:created>
  <dcterms:modified xsi:type="dcterms:W3CDTF">2023-08-29T23:28:00Z</dcterms:modified>
</cp:coreProperties>
</file>