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sz w:val="40"/>
        </w:rPr>
        <w:t>A Hybrid Biomedical Image-Analysis Pipeline for Fluorescence-Microscopy Nuclei</w:t>
      </w:r>
    </w:p>
    <w:p>
      <w:pPr>
        <w:spacing w:after="320"/>
        <w:jc w:val="center"/>
      </w:pPr>
      <w:r>
        <w:rPr>
          <w:color w:val="444444"/>
          <w:sz w:val="22"/>
        </w:rPr>
        <w:t>Assignment 3 — AI in Biomedical Imaging  |  [Student Name] — [Student ID]  |  17 August 2026</w:t>
      </w:r>
    </w:p>
    <w:p>
      <w:pPr>
        <w:spacing w:after="240"/>
        <w:shd w:val="clear" w:color="auto" w:fill="FFF7E6"/>
        <w:pBdr>
          <w:left w:val="single" w:sz="18" w:space="4" w:color="A06A1A"/>
        </w:pBdr>
      </w:pPr>
      <w:r>
        <w:rPr>
          <w:i/>
          <w:color w:val="444444"/>
          <w:sz w:val="19"/>
        </w:rPr>
        <w:t>Note: the assignment requires a PDF submission of at most 4 pages. report.pdf (2-column, verified at exactly 4 pages) is the file to submit. This .docx has the same content in a single-column layout for easy editing — update the name/ID above, then either re-export this file to PDF and check the page count, or make the same edit directly in report.html and re-render (see README).</w:t>
      </w:r>
    </w:p>
    <w:p>
      <w:pPr>
        <w:spacing w:before="280" w:after="80"/>
        <w:pBdr>
          <w:bottom w:val="single" w:sz="8" w:space="2" w:color="0B3D5C"/>
        </w:pBdr>
      </w:pPr>
      <w:r>
        <w:rPr>
          <w:rFonts w:ascii="Calibri" w:hAnsi="Calibri"/>
          <w:b/>
          <w:color w:val="0B3D5C"/>
          <w:sz w:val="30"/>
        </w:rPr>
        <w:t>1  Overview of methods</w:t>
      </w:r>
    </w:p>
    <w:p>
      <w:pPr>
        <w:jc w:val="both"/>
      </w:pPr>
      <w:r>
        <w:rPr>
          <w:b/>
          <w:sz w:val="22"/>
        </w:rPr>
        <w:t xml:space="preserve">Modality &amp; data.  </w:t>
      </w:r>
      <w:r>
        <w:rPr>
          <w:sz w:val="22"/>
        </w:rPr>
        <w:t>The assigned modality is synthetic fluorescence microscopy (DAPI-like nuclear staining), 112 RGB 256×256 images with paired binary/instance masks, split 80/20/12 (train/val/test), plus 4 corrupted test variants for the robustness extension. All images were converted to 8-bit grayscale (PIL) and confirmed at 256×256 (bilinear resize kept in the code path for portability to other sizes).</w:t>
      </w:r>
    </w:p>
    <w:p>
      <w:pPr>
        <w:jc w:val="both"/>
      </w:pPr>
      <w:r>
        <w:rPr>
          <w:b/>
          <w:sz w:val="22"/>
        </w:rPr>
        <w:t xml:space="preserve">Pipeline, as implemented.  </w:t>
      </w:r>
      <w:r>
        <w:rPr>
          <w:i/>
          <w:sz w:val="22"/>
        </w:rPr>
        <w:t>Task 1</w:t>
      </w:r>
      <w:r>
        <w:rPr>
          <w:sz w:val="22"/>
        </w:rPr>
        <w:t xml:space="preserve"> pairs an EDA (sample grid, pooled intensity histogram) with a direct image description from a local vision-language model (</w:t>
      </w:r>
      <w:r>
        <w:rPr>
          <w:rFonts w:ascii="Consolas" w:hAnsi="Consolas"/>
          <w:sz w:val="19"/>
        </w:rPr>
        <w:t>llama3.2-vision</w:t>
      </w:r>
      <w:r>
        <w:rPr>
          <w:sz w:val="22"/>
        </w:rPr>
        <w:t xml:space="preserve"> via Ollama), comparing a naive prompt against a schema-constrained, descriptive-not-diagnostic prompt, repeated 3× to expose run-to-run variability. </w:t>
      </w:r>
      <w:r>
        <w:rPr>
          <w:i/>
          <w:sz w:val="22"/>
        </w:rPr>
        <w:t>Task 2</w:t>
      </w:r>
      <w:r>
        <w:rPr>
          <w:sz w:val="22"/>
        </w:rPr>
        <w:t xml:space="preserve"> segments the same image classically — Otsu threshold → morphological opening/closing &amp; small-object removal → connected-component labelling → </w:t>
      </w:r>
      <w:r>
        <w:rPr>
          <w:rFonts w:ascii="Consolas" w:hAnsi="Consolas"/>
          <w:sz w:val="19"/>
        </w:rPr>
        <w:t>regionprops_table</w:t>
      </w:r>
      <w:r>
        <w:rPr>
          <w:sz w:val="22"/>
        </w:rPr>
        <w:t xml:space="preserve"> — turns the table into a short deterministic numeric summary, and sends </w:t>
      </w:r>
      <w:r>
        <w:rPr>
          <w:i/>
          <w:sz w:val="22"/>
        </w:rPr>
        <w:t>only that text</w:t>
      </w:r>
      <w:r>
        <w:rPr>
          <w:sz w:val="22"/>
        </w:rPr>
        <w:t xml:space="preserve"> (never the pixels) to a smaller local text LLM (</w:t>
      </w:r>
      <w:r>
        <w:rPr>
          <w:rFonts w:ascii="Consolas" w:hAnsi="Consolas"/>
          <w:sz w:val="19"/>
        </w:rPr>
        <w:t>llama3.2</w:t>
      </w:r>
      <w:r>
        <w:rPr>
          <w:sz w:val="22"/>
        </w:rPr>
        <w:t xml:space="preserve">) for a paragraph + JSON. </w:t>
      </w:r>
      <w:r>
        <w:rPr>
          <w:i/>
          <w:sz w:val="22"/>
        </w:rPr>
        <w:t>Task 3</w:t>
      </w:r>
      <w:r>
        <w:rPr>
          <w:sz w:val="22"/>
        </w:rPr>
        <w:t xml:space="preserve"> trains a compact U-Net (4 encoder/decoder stages, base width 16, ≈1.94M parameters, skip connections, combined BCE+Dice loss) for 40 epochs (Adam, lr=1e-3, batch 4, CPU) and evaluates Dice/IoU on the held-out val split. </w:t>
      </w:r>
      <w:r>
        <w:rPr>
          <w:i/>
          <w:sz w:val="22"/>
        </w:rPr>
        <w:t>Task 4</w:t>
      </w:r>
      <w:r>
        <w:rPr>
          <w:sz w:val="22"/>
        </w:rPr>
        <w:t xml:space="preserve"> chains the trained U-Net → regionprops → code-computed JSON fields → LLM narrative across all 12 unseen test images, aggregated to a CSV. Throughout, numeric JSON fields a user would act on are computed in code, never by LLM arithmetic — the design rationale behind this is discussed under Q4.</w:t>
      </w:r>
    </w:p>
    <w:p>
      <w:pPr>
        <w:spacing w:before="280" w:after="80"/>
        <w:pBdr>
          <w:bottom w:val="single" w:sz="8" w:space="2" w:color="0B3D5C"/>
        </w:pBdr>
      </w:pPr>
      <w:r>
        <w:rPr>
          <w:rFonts w:ascii="Calibri" w:hAnsi="Calibri"/>
          <w:b/>
          <w:color w:val="0B3D5C"/>
          <w:sz w:val="30"/>
        </w:rPr>
        <w:t>2  Task 1 — data preparation &amp; VLM description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206240" cy="42062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sample_gri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06240" cy="42062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444444"/>
          <w:sz w:val="18"/>
        </w:rPr>
        <w:t>Fig. 1. Nine random preprocessed (grayscale, 256×256) training images.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754880" cy="316992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1_intensity_histo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169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444444"/>
          <w:sz w:val="18"/>
        </w:rPr>
        <w:t>Fig. 2. Pixel-intensity histogram pooled over all 80 training images: strongly right-skewed, dark background dominates, with a long low-count tail from nucleus signal — typical of fluorescence images on a black field.</w:t>
      </w:r>
    </w:p>
    <w:p>
      <w:pPr>
        <w:jc w:val="both"/>
      </w:pPr>
      <w:r>
        <w:rPr>
          <w:b/>
          <w:sz w:val="22"/>
        </w:rPr>
        <w:t>Naive prompt</w:t>
      </w:r>
      <w:r>
        <w:rPr>
          <w:sz w:val="22"/>
        </w:rPr>
        <w:t xml:space="preserve"> (“What is this image showing? ... is there anything wrong with the tissue?”) returned free prose that volunteered an unprompted, confident clinical-sounding judgement: </w:t>
      </w:r>
      <w:r>
        <w:rPr>
          <w:i/>
          <w:sz w:val="22"/>
        </w:rPr>
        <w:t>“cells appear to be healthy and normal, with no visible signs of damage or abnormalities.”</w:t>
      </w:r>
      <w:r>
        <w:rPr>
          <w:sz w:val="22"/>
        </w:rPr>
        <w:t xml:space="preserve"> Nothing in the prompt asked for a health assessment — the model defaulted to one, which is exactly the failure mode Task 1 is designed to catch.</w:t>
      </w:r>
    </w:p>
    <w:p>
      <w:pPr>
        <w:spacing w:before="160" w:after="60"/>
      </w:pPr>
      <w:r>
        <w:rPr>
          <w:rFonts w:ascii="Calibri" w:hAnsi="Calibri"/>
          <w:b/>
          <w:color w:val="0B3D5C"/>
          <w:sz w:val="25"/>
        </w:rPr>
        <w:t>Optimised prompt (used for all reported VLM outputs)</w:t>
      </w:r>
    </w:p>
    <w:p>
      <w:pPr>
        <w:spacing w:before="80" w:after="160"/>
        <w:shd w:val="clear" w:color="auto" w:fill="F4F6F8"/>
        <w:pBdr>
          <w:left w:val="single" w:sz="18" w:space="4" w:color="0B3D5C"/>
        </w:pBdr>
      </w:pPr>
      <w:r>
        <w:rPr>
          <w:rFonts w:ascii="Consolas" w:hAnsi="Consolas"/>
          <w:sz w:val="17"/>
        </w:rPr>
        <w:t>You are an assistant that provides objective, descriptive observations about a biomedical research image, for educational purposes only. You are NOT a diagnostic tool: you must not name a disease, give a diagnosis, or suggest treatment. Describe only what is visually observable.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Report: modality, tissue_type, notable_features (1-2 sentences, purely descriptive), image_quality (focus/contrast/noise). If not confident about any field, write "uncertain" instead of guessing.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Respond with ONLY a single JSON object:</w:t>
      </w:r>
      <w:r>
        <w:br/>
      </w:r>
      <w:r>
        <w:rPr>
          <w:rFonts w:ascii="Consolas" w:hAnsi="Consolas"/>
          <w:sz w:val="17"/>
        </w:rPr>
        <w:t>{"modality": "...", "tissue_type": "...", "notable_features": "...", "image_quality": "..."}</w:t>
      </w:r>
    </w:p>
    <w:p>
      <w:pPr>
        <w:jc w:val="both"/>
      </w:pPr>
      <w:r>
        <w:rPr>
          <w:i/>
          <w:color w:val="444444"/>
          <w:sz w:val="19"/>
        </w:rPr>
        <w:t>(Full prompt text, incl. exact schema line, in src/vlm_description.py / outputs/json_records/task1_vlm_description.json; shown condensed here for space.)</w:t>
      </w:r>
    </w:p>
    <w:p>
      <w:pPr>
        <w:spacing w:before="80" w:after="160"/>
        <w:shd w:val="clear" w:color="auto" w:fill="FBF7EE"/>
        <w:pBdr>
          <w:left w:val="single" w:sz="18" w:space="4" w:color="A06A1A"/>
        </w:pBdr>
      </w:pPr>
      <w:r>
        <w:rPr>
          <w:rFonts w:ascii="Consolas" w:hAnsi="Consolas"/>
          <w:sz w:val="17"/>
        </w:rPr>
        <w:t>{"modality": "fluorescence microscopy",</w:t>
      </w:r>
      <w:r>
        <w:br/>
      </w:r>
      <w:r>
        <w:rPr>
          <w:rFonts w:ascii="Consolas" w:hAnsi="Consolas"/>
          <w:sz w:val="17"/>
        </w:rPr>
        <w:t xml:space="preserve"> "tissue_type": "uncertain",</w:t>
      </w:r>
      <w:r>
        <w:br/>
      </w:r>
      <w:r>
        <w:rPr>
          <w:rFonts w:ascii="Consolas" w:hAnsi="Consolas"/>
          <w:sz w:val="17"/>
        </w:rPr>
        <w:t xml:space="preserve"> "notable_features": "Bright blue spots are scattered across the image,</w:t>
      </w:r>
      <w:r>
        <w:br/>
      </w:r>
      <w:r>
        <w:rPr>
          <w:rFonts w:ascii="Consolas" w:hAnsi="Consolas"/>
          <w:sz w:val="17"/>
        </w:rPr>
        <w:t xml:space="preserve">   possibly representing cellular structures or other biological features.",</w:t>
      </w:r>
      <w:r>
        <w:br/>
      </w:r>
      <w:r>
        <w:rPr>
          <w:rFonts w:ascii="Consolas" w:hAnsi="Consolas"/>
          <w:sz w:val="17"/>
        </w:rPr>
        <w:t xml:space="preserve"> "image_quality": "uncertain"}</w:t>
      </w:r>
    </w:p>
    <w:p>
      <w:pPr>
        <w:jc w:val="both"/>
      </w:pPr>
      <w:r>
        <w:rPr>
          <w:b/>
          <w:sz w:val="22"/>
        </w:rPr>
        <w:t xml:space="preserve">Run-to-run variability.  </w:t>
      </w:r>
      <w:r>
        <w:rPr>
          <w:sz w:val="22"/>
        </w:rPr>
        <w:t xml:space="preserve">Three repeats of the identical optimised prompt on the same image gave different answers for </w:t>
      </w:r>
      <w:r>
        <w:rPr>
          <w:rFonts w:ascii="Consolas" w:hAnsi="Consolas"/>
          <w:sz w:val="19"/>
        </w:rPr>
        <w:t>tissue_type</w:t>
      </w:r>
      <w:r>
        <w:rPr>
          <w:sz w:val="22"/>
        </w:rPr>
        <w:t xml:space="preserve"> (“uncertain”, “cell culture”, “uncertain”) and </w:t>
      </w:r>
      <w:r>
        <w:rPr>
          <w:rFonts w:ascii="Consolas" w:hAnsi="Consolas"/>
          <w:sz w:val="19"/>
        </w:rPr>
        <w:t>image_quality</w:t>
      </w:r>
      <w:r>
        <w:rPr>
          <w:sz w:val="22"/>
        </w:rPr>
        <w:t xml:space="preserve"> (“uncertain” twice, but once a full descriptive sentence). Wording of </w:t>
      </w:r>
      <w:r>
        <w:rPr>
          <w:rFonts w:ascii="Consolas" w:hAnsi="Consolas"/>
          <w:sz w:val="19"/>
        </w:rPr>
        <w:t>notable_features</w:t>
      </w:r>
      <w:r>
        <w:rPr>
          <w:sz w:val="22"/>
        </w:rPr>
        <w:t xml:space="preserve"> also changed each time. This is expected LLM sampling variance, not a bug — it is exactly why a single free-text VLM call should never be the sole record of an image (see Q1/Q4).</w:t>
      </w:r>
    </w:p>
    <w:p>
      <w:pPr>
        <w:spacing w:before="280" w:after="80"/>
        <w:pBdr>
          <w:bottom w:val="single" w:sz="8" w:space="2" w:color="0B3D5C"/>
        </w:pBdr>
      </w:pPr>
      <w:r>
        <w:rPr>
          <w:rFonts w:ascii="Calibri" w:hAnsi="Calibri"/>
          <w:b/>
          <w:color w:val="0B3D5C"/>
          <w:sz w:val="30"/>
        </w:rPr>
        <w:t>3  Task 2 — classical features &amp; numbers-first interpretation</w:t>
      </w:r>
    </w:p>
    <w:p>
      <w:pPr>
        <w:jc w:val="both"/>
      </w:pPr>
      <w:r>
        <w:rPr>
          <w:sz w:val="22"/>
        </w:rPr>
        <w:t xml:space="preserve">On </w:t>
      </w:r>
      <w:r>
        <w:rPr>
          <w:rFonts w:ascii="Consolas" w:hAnsi="Consolas"/>
          <w:sz w:val="19"/>
        </w:rPr>
        <w:t>train_004</w:t>
      </w:r>
      <w:r>
        <w:rPr>
          <w:sz w:val="22"/>
        </w:rPr>
        <w:t>, Otsu + morphology detected 37 objects. A sample of the region table: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  <w:shd w:val="clear" w:fill="EEF2F5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label</w:t>
            </w:r>
          </w:p>
        </w:tc>
        <w:tc>
          <w:tcPr>
            <w:tcW w:type="dxa" w:w="1928"/>
            <w:shd w:val="clear" w:fill="EEF2F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  <w:sz w:val="19"/>
              </w:rPr>
              <w:t>area</w:t>
            </w:r>
          </w:p>
        </w:tc>
        <w:tc>
          <w:tcPr>
            <w:tcW w:type="dxa" w:w="1928"/>
            <w:shd w:val="clear" w:fill="EEF2F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  <w:sz w:val="19"/>
              </w:rPr>
              <w:t>ecc.</w:t>
            </w:r>
          </w:p>
        </w:tc>
        <w:tc>
          <w:tcPr>
            <w:tcW w:type="dxa" w:w="1928"/>
            <w:shd w:val="clear" w:fill="EEF2F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  <w:sz w:val="19"/>
              </w:rPr>
              <w:t>solidity</w:t>
            </w:r>
          </w:p>
        </w:tc>
        <w:tc>
          <w:tcPr>
            <w:tcW w:type="dxa" w:w="1928"/>
            <w:shd w:val="clear" w:fill="EEF2F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  <w:sz w:val="19"/>
              </w:rPr>
              <w:t>mean int.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267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0.761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0.950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66.8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478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0.821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0.746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64.8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2036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0.826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0.565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73.5</w:t>
            </w:r>
          </w:p>
        </w:tc>
      </w:tr>
      <w:tr>
        <w:tc>
          <w:tcPr>
            <w:tcW w:type="dxa" w:w="1928"/>
          </w:tcPr>
          <w:p>
            <w:r/>
            <w:r>
              <w:rPr>
                <w:sz w:val="19"/>
              </w:rPr>
              <w:t>7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102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0.650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0.953</w:t>
            </w:r>
          </w:p>
        </w:tc>
        <w:tc>
          <w:tcPr>
            <w:tcW w:type="dxa" w:w="1928"/>
          </w:tcPr>
          <w:p>
            <w:pPr>
              <w:jc w:val="right"/>
            </w:pPr>
            <w:r/>
            <w:r>
              <w:rPr>
                <w:sz w:val="19"/>
              </w:rPr>
              <w:t>52.0</w:t>
            </w:r>
          </w:p>
        </w:tc>
      </w:tr>
    </w:tbl>
    <w:p>
      <w:pPr>
        <w:spacing w:after="80"/>
      </w:pPr>
    </w:p>
    <w:p>
      <w:pPr>
        <w:spacing w:before="160" w:after="60"/>
      </w:pPr>
      <w:r>
        <w:rPr>
          <w:rFonts w:ascii="Calibri" w:hAnsi="Calibri"/>
          <w:b/>
          <w:color w:val="0B3D5C"/>
          <w:sz w:val="25"/>
        </w:rPr>
        <w:t>Numbers-first interpretation prompt</w:t>
      </w:r>
    </w:p>
    <w:p>
      <w:pPr>
        <w:spacing w:before="80" w:after="160"/>
        <w:shd w:val="clear" w:color="auto" w:fill="F4F6F8"/>
        <w:pBdr>
          <w:left w:val="single" w:sz="18" w:space="4" w:color="0B3D5C"/>
        </w:pBdr>
      </w:pPr>
      <w:r>
        <w:rPr>
          <w:rFonts w:ascii="Consolas" w:hAnsi="Consolas"/>
          <w:sz w:val="17"/>
        </w:rPr>
        <w:t>You are an assistant that interprets a table of image-analysis measurements... You are NOT given the image itself, only these numeric measurements, and must not invent visual details... You are NOT a diagnostic tool.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Measurements summary: {n_objects, area/eccentricity/solidity/mean_intensity/extent stats}</w:t>
      </w:r>
      <w:r>
        <w:br/>
      </w:r>
      <w:r>
        <w:rPr>
          <w:rFonts w:ascii="Consolas" w:hAnsi="Consolas"/>
          <w:sz w:val="17"/>
        </w:rPr>
        <w:t xml:space="preserve"> </w:t>
      </w:r>
      <w:r>
        <w:br/>
      </w:r>
      <w:r>
        <w:rPr>
          <w:rFonts w:ascii="Consolas" w:hAnsi="Consolas"/>
          <w:sz w:val="17"/>
        </w:rPr>
        <w:t>1. Write ONE short paragraph (3-4 sentences) on count, density, size spread, shape regularity.</w:t>
      </w:r>
      <w:r>
        <w:br/>
      </w:r>
      <w:r>
        <w:rPr>
          <w:rFonts w:ascii="Consolas" w:hAnsi="Consolas"/>
          <w:sz w:val="17"/>
        </w:rPr>
        <w:t>2. Output JSON: {"n_objects": int, "density_class": "sparse|normal|dense",</w:t>
      </w:r>
      <w:r>
        <w:br/>
      </w:r>
      <w:r>
        <w:rPr>
          <w:rFonts w:ascii="Consolas" w:hAnsi="Consolas"/>
          <w:sz w:val="17"/>
        </w:rPr>
        <w:t xml:space="preserve">   "shape_regularity": "regular|irregular", "quality_flag": "ok|uncertain"}</w:t>
      </w:r>
      <w:r>
        <w:br/>
      </w:r>
      <w:r>
        <w:rPr>
          <w:rFonts w:ascii="Consolas" w:hAnsi="Consolas"/>
          <w:sz w:val="17"/>
        </w:rPr>
        <w:t>If ambiguous, use "uncertain" rather than guessing.</w:t>
      </w:r>
    </w:p>
    <w:p>
      <w:pPr>
        <w:spacing w:before="80" w:after="160"/>
        <w:shd w:val="clear" w:color="auto" w:fill="FBF7EE"/>
        <w:pBdr>
          <w:left w:val="single" w:sz="18" w:space="4" w:color="A06A1A"/>
        </w:pBdr>
      </w:pPr>
      <w:r>
        <w:rPr>
          <w:rFonts w:ascii="Consolas" w:hAnsi="Consolas"/>
          <w:sz w:val="17"/>
        </w:rPr>
        <w:t>LLM json:  {"n_objects": 37, "density_class": "sparse",</w:t>
      </w:r>
      <w:r>
        <w:br/>
      </w:r>
      <w:r>
        <w:rPr>
          <w:rFonts w:ascii="Consolas" w:hAnsi="Consolas"/>
          <w:sz w:val="17"/>
        </w:rPr>
        <w:t xml:space="preserve">            "shape_regularity": "irregular", "quality_flag": "uncertain"}</w:t>
      </w:r>
      <w:r>
        <w:br/>
      </w:r>
      <w:r>
        <w:rPr>
          <w:rFonts w:ascii="Consolas" w:hAnsi="Consolas"/>
          <w:sz w:val="17"/>
        </w:rPr>
        <w:t>Code json: {"n_objects": 37, "density_class": "normal",</w:t>
      </w:r>
      <w:r>
        <w:br/>
      </w:r>
      <w:r>
        <w:rPr>
          <w:rFonts w:ascii="Consolas" w:hAnsi="Consolas"/>
          <w:sz w:val="17"/>
        </w:rPr>
        <w:t xml:space="preserve">            "shape_regularity": "irregular", "quality_flag": "ok",</w:t>
      </w:r>
      <w:r>
        <w:br/>
      </w:r>
      <w:r>
        <w:rPr>
          <w:rFonts w:ascii="Consolas" w:hAnsi="Consolas"/>
          <w:sz w:val="17"/>
        </w:rPr>
        <w:t xml:space="preserve">            "mean_area": 360.9}</w:t>
      </w:r>
    </w:p>
    <w:p>
      <w:pPr>
        <w:jc w:val="both"/>
      </w:pPr>
      <w:r>
        <w:rPr>
          <w:sz w:val="22"/>
        </w:rPr>
        <w:t xml:space="preserve">Note the disagreement: the code rule (&lt;15 sparse, 15–40 normal, &gt;40 dense) puts 37 objects at </w:t>
      </w:r>
      <w:r>
        <w:rPr>
          <w:i/>
          <w:sz w:val="22"/>
        </w:rPr>
        <w:t>normal</w:t>
      </w:r>
      <w:r>
        <w:rPr>
          <w:sz w:val="22"/>
        </w:rPr>
        <w:t xml:space="preserve"> density; the LLM, given that same count in the prompt text, wrote </w:t>
      </w:r>
      <w:r>
        <w:rPr>
          <w:i/>
          <w:sz w:val="22"/>
        </w:rPr>
        <w:t>sparse</w:t>
      </w:r>
      <w:r>
        <w:rPr>
          <w:sz w:val="22"/>
        </w:rPr>
        <w:t xml:space="preserve"> — a numeric-reasoning slip even in a numbers-only, image-free setting. This is direct evidence that the code-derived JSON, not the LLM's JSON, must be treated as ground truth (Task 4 architecture; Q4).</w:t>
      </w:r>
    </w:p>
    <w:p>
      <w:pPr>
        <w:spacing w:before="280" w:after="80"/>
        <w:pBdr>
          <w:bottom w:val="single" w:sz="8" w:space="2" w:color="0B3D5C"/>
        </w:pBdr>
      </w:pPr>
      <w:r>
        <w:rPr>
          <w:rFonts w:ascii="Calibri" w:hAnsi="Calibri"/>
          <w:b/>
          <w:color w:val="0B3D5C"/>
          <w:sz w:val="30"/>
        </w:rPr>
        <w:t>4  Task 3 — U-Net segmentation</w:t>
      </w:r>
    </w:p>
    <w:p>
      <w:pPr>
        <w:jc w:val="both"/>
      </w:pPr>
      <w:r>
        <w:rPr>
          <w:sz w:val="22"/>
        </w:rPr>
        <w:t>The U-Net (Section 1 architecture) was trained for 40 epochs on the 80-image train split and evaluated on the 20-image val split; Fig. 3 shows the resulting training and validation curves.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226771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loss_dice_curv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677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444444"/>
          <w:sz w:val="18"/>
        </w:rPr>
        <w:t>Fig. 3. Training loss (BCE+Dice) and validation Dice/IoU over 40 epochs. Both curves plateau by ~epoch 15-20; the visible dip in early-epoch Dice/IoU (epochs 1-3) reflects the randomly-initialised decoder before it learns to close small holes.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CCCCCC"/>
          <w:left w:val="single" w:sz="4" w:color="CCCCCC"/>
          <w:bottom w:val="single" w:sz="4" w:color="CCCCCC"/>
          <w:right w:val="single" w:sz="4" w:color="CCCCCC"/>
          <w:insideH w:val="single" w:sz="4" w:color="CCCCCC"/>
          <w:insideV w:val="single" w:sz="4" w:color="CCCCCC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fill="EEF2F5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Split</w:t>
            </w:r>
          </w:p>
        </w:tc>
        <w:tc>
          <w:tcPr>
            <w:tcW w:type="dxa" w:w="2409"/>
            <w:shd w:val="clear" w:fill="EEF2F5"/>
          </w:tcPr>
          <w:p>
            <w:r>
              <w:rPr>
                <w:b/>
              </w:rPr>
            </w:r>
            <w:r>
              <w:rPr>
                <w:b/>
                <w:sz w:val="19"/>
              </w:rPr>
              <w:t>Method</w:t>
            </w:r>
          </w:p>
        </w:tc>
        <w:tc>
          <w:tcPr>
            <w:tcW w:type="dxa" w:w="2409"/>
            <w:shd w:val="clear" w:fill="EEF2F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  <w:sz w:val="19"/>
              </w:rPr>
              <w:t>Mean Dice</w:t>
            </w:r>
          </w:p>
        </w:tc>
        <w:tc>
          <w:tcPr>
            <w:tcW w:type="dxa" w:w="2409"/>
            <w:shd w:val="clear" w:fill="EEF2F5"/>
          </w:tcPr>
          <w:p>
            <w:pPr>
              <w:jc w:val="right"/>
            </w:pPr>
            <w:r>
              <w:rPr>
                <w:b/>
              </w:rPr>
            </w:r>
            <w:r>
              <w:rPr>
                <w:b/>
                <w:sz w:val="19"/>
              </w:rPr>
              <w:t>Mean IoU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9"/>
              </w:rPr>
              <w:t>val (n=20)</w:t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  <w:t>Otsu (classical)</w:t>
            </w:r>
          </w:p>
        </w:tc>
        <w:tc>
          <w:tcPr>
            <w:tcW w:type="dxa" w:w="2409"/>
          </w:tcPr>
          <w:p>
            <w:pPr>
              <w:jc w:val="right"/>
            </w:pPr>
            <w:r/>
            <w:r>
              <w:rPr>
                <w:sz w:val="19"/>
              </w:rPr>
              <w:t>0.976</w:t>
            </w:r>
          </w:p>
        </w:tc>
        <w:tc>
          <w:tcPr>
            <w:tcW w:type="dxa" w:w="2409"/>
          </w:tcPr>
          <w:p>
            <w:pPr>
              <w:jc w:val="right"/>
            </w:pPr>
            <w:r/>
            <w:r>
              <w:rPr>
                <w:sz w:val="19"/>
              </w:rPr>
              <w:t>0.953</w:t>
            </w:r>
          </w:p>
        </w:tc>
      </w:tr>
      <w:tr>
        <w:tc>
          <w:tcPr>
            <w:tcW w:type="dxa" w:w="2409"/>
          </w:tcPr>
          <w:p>
            <w:r/>
            <w:r>
              <w:rPr>
                <w:sz w:val="19"/>
              </w:rPr>
              <w:t>val (n=20)</w:t>
            </w:r>
          </w:p>
        </w:tc>
        <w:tc>
          <w:tcPr>
            <w:tcW w:type="dxa" w:w="2409"/>
          </w:tcPr>
          <w:p>
            <w:r/>
            <w:r>
              <w:rPr>
                <w:sz w:val="19"/>
              </w:rPr>
              <w:t>U-Net (BCE+Dice, 40 ep.)</w:t>
            </w:r>
          </w:p>
        </w:tc>
        <w:tc>
          <w:tcPr>
            <w:tcW w:type="dxa" w:w="2409"/>
          </w:tcPr>
          <w:p>
            <w:pPr>
              <w:jc w:val="right"/>
            </w:pPr>
            <w:r/>
            <w:r>
              <w:rPr>
                <w:sz w:val="19"/>
              </w:rPr>
              <w:t>0.997</w:t>
            </w:r>
          </w:p>
        </w:tc>
        <w:tc>
          <w:tcPr>
            <w:tcW w:type="dxa" w:w="2409"/>
          </w:tcPr>
          <w:p>
            <w:pPr>
              <w:jc w:val="right"/>
            </w:pPr>
            <w:r/>
            <w:r>
              <w:rPr>
                <w:sz w:val="19"/>
              </w:rPr>
              <w:t>0.994</w:t>
            </w:r>
          </w:p>
        </w:tc>
      </w:tr>
    </w:tbl>
    <w:p>
      <w:pPr>
        <w:spacing w:after="80"/>
      </w:pP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937760" cy="493776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ask3_prediction_panel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937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444444"/>
          <w:sz w:val="18"/>
        </w:rPr>
        <w:t>Fig. 4. Input / ground-truth / U-Net prediction for 3 validation images (val_000–val_002) — predicted masks are visually close to pixel-identical to ground truth.</w:t>
      </w:r>
    </w:p>
    <w:p>
      <w:pPr>
        <w:spacing w:before="280" w:after="80"/>
        <w:pBdr>
          <w:bottom w:val="single" w:sz="8" w:space="2" w:color="0B3D5C"/>
        </w:pBdr>
      </w:pPr>
      <w:r>
        <w:rPr>
          <w:rFonts w:ascii="Calibri" w:hAnsi="Calibri"/>
          <w:b/>
          <w:color w:val="0B3D5C"/>
          <w:sz w:val="30"/>
        </w:rPr>
        <w:t>5  U-Net vs Otsu, and the hybrid pipeline (Task 4)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09233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tsu_vs_unet_panel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923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444444"/>
          <w:sz w:val="18"/>
        </w:rPr>
        <w:t>Fig. 5. Qualitative comparison on the two extreme cases from val: U-Net's largest margin (val_019, touching/medium-contrast nuclei — Otsu leaves ragged, notched edges) and its smallest margin (val_002, large well-separated bright nuclei — a global threshold is already nearly correct).</w:t>
      </w:r>
    </w:p>
    <w:p>
      <w:pPr>
        <w:jc w:val="both"/>
      </w:pPr>
      <w:r>
        <w:rPr>
          <w:sz w:val="22"/>
        </w:rPr>
        <w:t xml:space="preserve">The U-Net matched or beat Otsu on </w:t>
      </w:r>
      <w:r>
        <w:rPr>
          <w:i/>
          <w:sz w:val="22"/>
        </w:rPr>
        <w:t>every</w:t>
      </w:r>
      <w:r>
        <w:rPr>
          <w:sz w:val="22"/>
        </w:rPr>
        <w:t xml:space="preserve"> validation image; there was no case where Otsu was actually better, only cases where its disadvantage was small. That the gap is largest on medium-contrast/touching objects and smallest on large, bright, well-isolated ones (Fig. 5) is consistent with Otsu's single global threshold being a good approximation only when foreground/background separation is already easy.</w:t>
      </w:r>
    </w:p>
    <w:p>
      <w:pPr>
        <w:spacing w:before="160" w:after="60"/>
      </w:pPr>
      <w:r>
        <w:rPr>
          <w:rFonts w:ascii="Calibri" w:hAnsi="Calibri"/>
          <w:b/>
          <w:color w:val="0B3D5C"/>
          <w:sz w:val="25"/>
        </w:rPr>
        <w:t>Task 4 example record (test_000, unseen)</w:t>
      </w:r>
    </w:p>
    <w:p>
      <w:pPr>
        <w:spacing w:before="80" w:after="160"/>
        <w:shd w:val="clear" w:color="auto" w:fill="FBF7EE"/>
        <w:pBdr>
          <w:left w:val="single" w:sz="18" w:space="4" w:color="A06A1A"/>
        </w:pBdr>
      </w:pPr>
      <w:r>
        <w:rPr>
          <w:rFonts w:ascii="Consolas" w:hAnsi="Consolas"/>
          <w:sz w:val="17"/>
        </w:rPr>
        <w:t>{"image_id": "test_000", "n_objects": 8, "mean_area": 191.0,</w:t>
      </w:r>
      <w:r>
        <w:br/>
      </w:r>
      <w:r>
        <w:rPr>
          <w:rFonts w:ascii="Consolas" w:hAnsi="Consolas"/>
          <w:sz w:val="17"/>
        </w:rPr>
        <w:t xml:space="preserve"> "density_class": "sparse", "quality_flag": "ok",</w:t>
      </w:r>
      <w:r>
        <w:br/>
      </w:r>
      <w:r>
        <w:rPr>
          <w:rFonts w:ascii="Consolas" w:hAnsi="Consolas"/>
          <w:sz w:val="17"/>
        </w:rPr>
        <w:t xml:space="preserve"> "narrative": "The test_000 image contains 8 objects with varying sizes,</w:t>
      </w:r>
      <w:r>
        <w:br/>
      </w:r>
      <w:r>
        <w:rPr>
          <w:rFonts w:ascii="Consolas" w:hAnsi="Consolas"/>
          <w:sz w:val="17"/>
        </w:rPr>
        <w:t xml:space="preserve">   as indicated by a standard deviation of 111 pixels in their areas.</w:t>
      </w:r>
      <w:r>
        <w:br/>
      </w:r>
      <w:r>
        <w:rPr>
          <w:rFonts w:ascii="Consolas" w:hAnsi="Consolas"/>
          <w:sz w:val="17"/>
        </w:rPr>
        <w:t xml:space="preserve">   These objects appear to have a range of shapes ... suggesting some</w:t>
      </w:r>
      <w:r>
        <w:br/>
      </w:r>
      <w:r>
        <w:rPr>
          <w:rFonts w:ascii="Consolas" w:hAnsi="Consolas"/>
          <w:sz w:val="17"/>
        </w:rPr>
        <w:t xml:space="preserve">   elongation or irregularity. However, the mean solidity and extent</w:t>
      </w:r>
      <w:r>
        <w:br/>
      </w:r>
      <w:r>
        <w:rPr>
          <w:rFonts w:ascii="Consolas" w:hAnsi="Consolas"/>
          <w:sz w:val="17"/>
        </w:rPr>
        <w:t xml:space="preserve">   values suggest that most ... are roughly convex and well-defined ..."}</w:t>
      </w:r>
    </w:p>
    <w:p>
      <w:pPr>
        <w:jc w:val="both"/>
      </w:pPr>
      <w:r>
        <w:rPr>
          <w:sz w:val="22"/>
        </w:rPr>
        <w:t xml:space="preserve">All 12 test images were processed this way (U-Net mask → regionprops → code JSON fields → LLM narrative) and aggregated into </w:t>
      </w:r>
      <w:r>
        <w:rPr>
          <w:rFonts w:ascii="Consolas" w:hAnsi="Consolas"/>
          <w:sz w:val="19"/>
        </w:rPr>
        <w:t>outputs/task4_hybrid_records.csv</w:t>
      </w:r>
      <w:r>
        <w:rPr>
          <w:sz w:val="22"/>
        </w:rPr>
        <w:t xml:space="preserve"> (one row per image; </w:t>
      </w:r>
      <w:r>
        <w:rPr>
          <w:rFonts w:ascii="Consolas" w:hAnsi="Consolas"/>
          <w:sz w:val="19"/>
        </w:rPr>
        <w:t>n_objects</w:t>
      </w:r>
      <w:r>
        <w:rPr>
          <w:sz w:val="22"/>
        </w:rPr>
        <w:t xml:space="preserve"> ranged 8–43, </w:t>
      </w:r>
      <w:r>
        <w:rPr>
          <w:rFonts w:ascii="Consolas" w:hAnsi="Consolas"/>
          <w:sz w:val="19"/>
        </w:rPr>
        <w:t>density_class</w:t>
      </w:r>
      <w:r>
        <w:rPr>
          <w:sz w:val="22"/>
        </w:rPr>
        <w:t xml:space="preserve"> sparse/normal/dense throughout). The narrative prompt keeps Task 2's numbers-only, non-diagnostic framing but asks for prose only (the JSON fields are already fixed by code, so the LLM is not asked to repeat them):</w:t>
      </w:r>
    </w:p>
    <w:p>
      <w:pPr>
        <w:spacing w:before="80" w:after="160"/>
        <w:shd w:val="clear" w:color="auto" w:fill="F4F6F8"/>
        <w:pBdr>
          <w:left w:val="single" w:sz="18" w:space="4" w:color="0B3D5C"/>
        </w:pBdr>
      </w:pPr>
      <w:r>
        <w:rPr>
          <w:rFonts w:ascii="Consolas" w:hAnsi="Consolas"/>
          <w:sz w:val="17"/>
        </w:rPr>
        <w:t>You are an assistant that writes a short, objective narrative for a biomedical research image, for educational purposes only. You are NOT a diagnostic tool. You are given only numeric measurements below, not the image itself -- do not invent visual details beyond what the numbers imply.</w:t>
      </w:r>
      <w:r>
        <w:br/>
      </w:r>
      <w:r>
        <w:rPr>
          <w:rFonts w:ascii="Consolas" w:hAnsi="Consolas"/>
          <w:sz w:val="17"/>
        </w:rPr>
        <w:t>Image id: {image_id}</w:t>
      </w:r>
      <w:r>
        <w:br/>
      </w:r>
      <w:r>
        <w:rPr>
          <w:rFonts w:ascii="Consolas" w:hAnsi="Consolas"/>
          <w:sz w:val="17"/>
        </w:rPr>
        <w:t>Measurements from automatic segmentation: {summary_text}</w:t>
      </w:r>
      <w:r>
        <w:br/>
      </w:r>
      <w:r>
        <w:rPr>
          <w:rFonts w:ascii="Consolas" w:hAnsi="Consolas"/>
          <w:sz w:val="17"/>
        </w:rPr>
        <w:t>Write ONE short paragraph (3-4 sentences) ... If the numbers are ambiguous, say so rather than guessing. Plain text only, no JSON.</w:t>
      </w:r>
    </w:p>
    <w:p>
      <w:pPr>
        <w:spacing w:before="160" w:after="60"/>
      </w:pPr>
      <w:r>
        <w:rPr>
          <w:rFonts w:ascii="Calibri" w:hAnsi="Calibri"/>
          <w:b/>
          <w:color w:val="0B3D5C"/>
          <w:sz w:val="25"/>
        </w:rPr>
        <w:t>Robustness extension (bonus)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50955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bustness_panel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5095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</w:pPr>
      <w:r>
        <w:rPr>
          <w:i/>
          <w:color w:val="444444"/>
          <w:sz w:val="18"/>
        </w:rPr>
        <w:t>Fig. 6. Corruption propagation on test_000. Blur softens object boundaries but the mask still finds discrete objects. Low contrast is catastrophic: the U-Net mask becomes 100% foreground (the whole frame), silently breaking every downstream stage.</w:t>
      </w:r>
    </w:p>
    <w:p>
      <w:pPr>
        <w:jc w:val="both"/>
      </w:pPr>
      <w:r>
        <w:rPr>
          <w:sz w:val="22"/>
        </w:rPr>
        <w:t xml:space="preserve">Two corrupted variants (heavy Gaussian blur; low-contrast rescale) of 2 test images were traced through all four stages. </w:t>
      </w:r>
      <w:r>
        <w:rPr>
          <w:b/>
          <w:sz w:val="22"/>
        </w:rPr>
        <w:t>Blur</w:t>
      </w:r>
      <w:r>
        <w:rPr>
          <w:sz w:val="22"/>
        </w:rPr>
        <w:t xml:space="preserve">: pixel std drops ~40–44% (stage 1), mask Dice-vs-GT collapses from ~0.997 to ~0.65 (stage 2, Fig. 6 middle column), object count drops modestly. </w:t>
      </w:r>
      <w:r>
        <w:rPr>
          <w:b/>
          <w:sz w:val="22"/>
        </w:rPr>
        <w:t>Low-contrast</w:t>
      </w:r>
      <w:r>
        <w:rPr>
          <w:sz w:val="22"/>
        </w:rPr>
        <w:t xml:space="preserve">: pixel mean shifts by hundreds of percent (stage 1), the mask </w:t>
      </w:r>
      <w:r>
        <w:rPr>
          <w:i/>
          <w:sz w:val="22"/>
        </w:rPr>
        <w:t>completely fails</w:t>
      </w:r>
      <w:r>
        <w:rPr>
          <w:sz w:val="22"/>
        </w:rPr>
        <w:t xml:space="preserve"> to 100% foreground (Dice≈0.05–0.36, Fig. 6 right column), and the region table collapses to a single “object” with </w:t>
      </w:r>
      <w:r>
        <w:rPr>
          <w:rFonts w:ascii="Consolas" w:hAnsi="Consolas"/>
          <w:sz w:val="19"/>
        </w:rPr>
        <w:t>area=65535</w:t>
      </w:r>
      <w:r>
        <w:rPr>
          <w:sz w:val="22"/>
        </w:rPr>
        <w:t xml:space="preserve"> — exactly 256×256. Critically, the LLM narrative for this case still reads fluently (“a single, elongated oval-shaped object…”) with no hint of failure — only the structured field </w:t>
      </w:r>
      <w:r>
        <w:rPr>
          <w:rFonts w:ascii="Consolas" w:hAnsi="Consolas"/>
          <w:sz w:val="19"/>
        </w:rPr>
        <w:t>area=65535</w:t>
      </w:r>
      <w:r>
        <w:rPr>
          <w:sz w:val="22"/>
        </w:rPr>
        <w:t xml:space="preserve"> exposes it. The earliest stage at which the corruption is </w:t>
      </w:r>
      <w:r>
        <w:rPr>
          <w:i/>
          <w:sz w:val="22"/>
        </w:rPr>
        <w:t>detectable at all</w:t>
      </w:r>
      <w:r>
        <w:rPr>
          <w:sz w:val="22"/>
        </w:rPr>
        <w:t xml:space="preserve"> is stage 1 (raw pixel statistics, before segmentation even runs); the earliest stage at which it becomes </w:t>
      </w:r>
      <w:r>
        <w:rPr>
          <w:i/>
          <w:sz w:val="22"/>
        </w:rPr>
        <w:t>unambiguous without instrumenting raw pixels</w:t>
      </w:r>
      <w:r>
        <w:rPr>
          <w:sz w:val="22"/>
        </w:rPr>
        <w:t xml:space="preserve"> is the stage-3 feature table, not the narrative.</w:t>
      </w:r>
    </w:p>
    <w:p>
      <w:pPr>
        <w:spacing w:before="280" w:after="80"/>
        <w:pBdr>
          <w:bottom w:val="single" w:sz="8" w:space="2" w:color="0B3D5C"/>
        </w:pBdr>
      </w:pPr>
      <w:r>
        <w:rPr>
          <w:rFonts w:ascii="Calibri" w:hAnsi="Calibri"/>
          <w:b/>
          <w:color w:val="0B3D5C"/>
          <w:sz w:val="30"/>
        </w:rPr>
        <w:t>6  Discussion &amp; answers to the set questions</w:t>
      </w:r>
    </w:p>
    <w:p>
      <w:pPr>
        <w:jc w:val="both"/>
      </w:pPr>
      <w:r>
        <w:rPr>
          <w:b/>
          <w:color w:val="0B3D5C"/>
          <w:sz w:val="22"/>
        </w:rPr>
        <w:t xml:space="preserve">Q1 — VLM vs numbers-first: which is more useful, which is more trustworthy?  </w:t>
      </w:r>
      <w:r>
        <w:rPr>
          <w:sz w:val="22"/>
        </w:rPr>
        <w:t xml:space="preserve">The direct VLM description (Task 1) is more </w:t>
      </w:r>
      <w:r>
        <w:rPr>
          <w:i/>
          <w:sz w:val="22"/>
        </w:rPr>
        <w:t>useful</w:t>
      </w:r>
      <w:r>
        <w:rPr>
          <w:sz w:val="22"/>
        </w:rPr>
        <w:t xml:space="preserve"> for a fast, human-readable first impression — it reads naturally and needs no downstream code to consume. It is less </w:t>
      </w:r>
      <w:r>
        <w:rPr>
          <w:i/>
          <w:sz w:val="22"/>
        </w:rPr>
        <w:t>trustworthy</w:t>
      </w:r>
      <w:r>
        <w:rPr>
          <w:sz w:val="22"/>
        </w:rPr>
        <w:t xml:space="preserve">: it is non-deterministic (Section 2), it is not grounded in any measurement that can be independently re-checked, and the naive-prompt run showed it will volunteer confident-sounding judgements it was never asked for. The numbers-first pipeline (Task 2) is more trustworthy because every quantity is reproducible — re-running Otsu+regionprops on the same image always gives the same table — and the LLM's role is reduced to phrasing rather than measuring. It is not perfectly trustworthy either (Section 3 showed a density-class misclassification), which is exactly why the </w:t>
      </w:r>
      <w:r>
        <w:rPr>
          <w:i/>
          <w:sz w:val="22"/>
        </w:rPr>
        <w:t>code-derived</w:t>
      </w:r>
      <w:r>
        <w:rPr>
          <w:sz w:val="22"/>
        </w:rPr>
        <w:t xml:space="preserve"> JSON, not either LLM's JSON, is treated as ground truth throughout.</w:t>
      </w:r>
    </w:p>
    <w:p>
      <w:pPr>
        <w:jc w:val="both"/>
      </w:pPr>
      <w:r>
        <w:rPr>
          <w:b/>
          <w:color w:val="0B3D5C"/>
          <w:sz w:val="22"/>
        </w:rPr>
        <w:t xml:space="preserve">Q2 — Did the U-Net improve on Otsu? Examples.  </w:t>
      </w:r>
      <w:r>
        <w:rPr>
          <w:sz w:val="22"/>
        </w:rPr>
        <w:t xml:space="preserve">Yes, on every validation image (mean Dice 0.997 vs 0.976; mean IoU 0.994 vs 0.953). U-Net's advantage is largest on </w:t>
      </w:r>
      <w:r>
        <w:rPr>
          <w:rFonts w:ascii="Consolas" w:hAnsi="Consolas"/>
          <w:sz w:val="19"/>
        </w:rPr>
        <w:t>val_019</w:t>
      </w:r>
      <w:r>
        <w:rPr>
          <w:sz w:val="22"/>
        </w:rPr>
        <w:t xml:space="preserve"> (Otsu 0.973 vs U-Net 0.999) where nuclei are medium-contrast and partly touching — Otsu's fixed global threshold leaves ragged edges and small spurious fragments (Fig. 5, top row). Otsu is closest to U-Net (though still behind) on </w:t>
      </w:r>
      <w:r>
        <w:rPr>
          <w:rFonts w:ascii="Consolas" w:hAnsi="Consolas"/>
          <w:sz w:val="19"/>
        </w:rPr>
        <w:t>val_002</w:t>
      </w:r>
      <w:r>
        <w:rPr>
          <w:sz w:val="22"/>
        </w:rPr>
        <w:t xml:space="preserve"> (0.982 vs 0.997), where nuclei are large, bright, and well-isolated against a clean dark background — conditions under which a single threshold is nearly sufficient by construction.</w:t>
      </w:r>
    </w:p>
    <w:p>
      <w:pPr>
        <w:jc w:val="both"/>
      </w:pPr>
      <w:r>
        <w:rPr>
          <w:b/>
          <w:color w:val="0B3D5C"/>
          <w:sz w:val="22"/>
        </w:rPr>
        <w:t xml:space="preserve">Q3 — Dice/IoU meaning and failure modes.  </w:t>
      </w:r>
      <w:r>
        <w:rPr>
          <w:sz w:val="22"/>
        </w:rPr>
        <w:t>Dice = 2|P∩G| / (|P|+|G|) and IoU = |P∩G| / |P∪G| both measure pixel-set overlap between predicted (P) and ground-truth (G) foreground; IoU penalises boundary/size mismatches more harshly than Dice for the same error. Mean val Dice 0.997 / IoU 0.994 mean predicted masks are almost pixel-identical to ground truth on this dataset. The (narrow, 0.995–0.999) per-image range is lowest on images with more, smaller, or more closely packed nuclei (e.g. val_004, val_005, val_012) — consistent with the qualitative panels, where residual error concentrates at object boundaries and at touching instances. Because the model outputs one binary foreground mask rather than per-instance labels, it structurally cannot separate two touching nuclei into two objects even when the pixel-level Dice looks excellent — a real limitation Dice/IoU do not expose.</w:t>
      </w:r>
    </w:p>
    <w:p>
      <w:pPr>
        <w:jc w:val="both"/>
      </w:pPr>
      <w:r>
        <w:rPr>
          <w:b/>
          <w:color w:val="0B3D5C"/>
          <w:sz w:val="22"/>
        </w:rPr>
        <w:t xml:space="preserve">Q4 — Where can the LLM hallucinate, and what mitigates it?  </w:t>
      </w:r>
      <w:r>
        <w:rPr>
          <w:sz w:val="22"/>
        </w:rPr>
        <w:t xml:space="preserve">Three concrete points were observed: (i) Task 1's free-text </w:t>
      </w:r>
      <w:r>
        <w:rPr>
          <w:rFonts w:ascii="Consolas" w:hAnsi="Consolas"/>
          <w:sz w:val="19"/>
        </w:rPr>
        <w:t>tissue_type</w:t>
      </w:r>
      <w:r>
        <w:rPr>
          <w:sz w:val="22"/>
        </w:rPr>
        <w:t>/</w:t>
      </w:r>
      <w:r>
        <w:rPr>
          <w:rFonts w:ascii="Consolas" w:hAnsi="Consolas"/>
          <w:sz w:val="19"/>
        </w:rPr>
        <w:t>image_quality</w:t>
      </w:r>
      <w:r>
        <w:rPr>
          <w:sz w:val="22"/>
        </w:rPr>
        <w:t xml:space="preserve"> fields changing answer across identical re-runs; (ii) Task 2's LLM assigning density_class="sparse" to 37 objects when the code rule (and its own stated count) implies “normal”; (iii) the robustness test's narrative describing a physically broken, whole-frame mask as “a single, elongated oval-shaped object” without flagging anything wrong. Mitigations used in the code: a constrained JSON schema that explicitly permits “uncertain” (removing the pressure to fabricate a confident answer); an explicit “not a diagnostic tool” role instruction; isolating the interpretation LLM from pixels entirely in Tasks 2/4 so it cannot invent visual detail beyond the numbers it is given; a regex-based JSON-extraction-with-retry helper (</w:t>
      </w:r>
      <w:r>
        <w:rPr>
          <w:rFonts w:ascii="Consolas" w:hAnsi="Consolas"/>
          <w:sz w:val="19"/>
        </w:rPr>
        <w:t>llm_utils.chat_json</w:t>
      </w:r>
      <w:r>
        <w:rPr>
          <w:sz w:val="22"/>
        </w:rPr>
        <w:t>) that rejects and retries malformed output; and, most importantly, computing every numeric field a downstream user would act on (</w:t>
      </w:r>
      <w:r>
        <w:rPr>
          <w:rFonts w:ascii="Consolas" w:hAnsi="Consolas"/>
          <w:sz w:val="19"/>
        </w:rPr>
        <w:t>n_objects, mean_area, density_class, quality_flag</w:t>
      </w:r>
      <w:r>
        <w:rPr>
          <w:sz w:val="22"/>
        </w:rPr>
        <w:t xml:space="preserve">) directly from the regionprops table in code, never from the LLM's own arithmetic. Keeping this code-derived JSON as the source of truth matters because it is deterministic and diffable (identical input → identical output, unlike the LLM text), can be automatically range-checked (e.g. flag </w:t>
      </w:r>
      <w:r>
        <w:rPr>
          <w:rFonts w:ascii="Consolas" w:hAnsi="Consolas"/>
          <w:sz w:val="19"/>
        </w:rPr>
        <w:t>area</w:t>
      </w:r>
      <w:r>
        <w:rPr>
          <w:sz w:val="22"/>
        </w:rPr>
        <w:t xml:space="preserve"> ≥ image area, exactly what would have caught the corrupted-image failure), and lets an auditor trace any number back to the exact pixels and function that produced it — the fluent narrative alone cannot offer any of that.</w:t>
      </w:r>
    </w:p>
    <w:p>
      <w:pPr>
        <w:jc w:val="both"/>
      </w:pPr>
      <w:r>
        <w:rPr>
          <w:b/>
          <w:color w:val="0B3D5C"/>
          <w:sz w:val="22"/>
        </w:rPr>
        <w:t xml:space="preserve">Q5 — Clinical trust and the highest-impact change.  </w:t>
      </w:r>
      <w:r>
        <w:rPr>
          <w:sz w:val="22"/>
        </w:rPr>
        <w:t xml:space="preserve">No part of this system should be trusted in a real clinical setting yet. The near-perfect Dice (0.997) reflects a fully synthetic dataset of clean, well-separated, uniformly-stained blobs on a flat dark background — the model has never seen real staining variability, overlapping nuclei at density, or acquisition artefacts, so the number says more about the dataset's ease than about the model's real-world skill. The VLM step is demonstrably non-deterministic and can produce confident-sounding but unverified claims. And evaluation is at the pixel/mask level only — there is no instance-level check, so the pipeline could report a plausible object count for the wrong reason. Considering accuracy, auditability, and dataset limits together, the single highest-impact change would be replacing the synthetic dataset with a real, expert-annotated microscopy/histology set (with a held-out clinical-site split) </w:t>
      </w:r>
      <w:r>
        <w:rPr>
          <w:i/>
          <w:sz w:val="22"/>
        </w:rPr>
        <w:t>and</w:t>
      </w:r>
      <w:r>
        <w:rPr>
          <w:sz w:val="22"/>
        </w:rPr>
        <w:t xml:space="preserve"> wiring the automatic range/plausibility checks the robustness test motivates (e.g. reject or flag any code-derived record whose </w:t>
      </w:r>
      <w:r>
        <w:rPr>
          <w:rFonts w:ascii="Consolas" w:hAnsi="Consolas"/>
          <w:sz w:val="19"/>
        </w:rPr>
        <w:t>area</w:t>
      </w:r>
      <w:r>
        <w:rPr>
          <w:sz w:val="22"/>
        </w:rPr>
        <w:t xml:space="preserve"> is implausible, before any narrative reaches a user) — together these close both the generalisation gap and the “plausible but wrong” narrative failure mode this report demonstrates.</w:t>
      </w:r>
    </w:p>
    <w:p>
      <w:pPr>
        <w:spacing w:before="280" w:after="80"/>
        <w:pBdr>
          <w:bottom w:val="single" w:sz="8" w:space="2" w:color="0B3D5C"/>
        </w:pBdr>
      </w:pPr>
      <w:r>
        <w:rPr>
          <w:rFonts w:ascii="Calibri" w:hAnsi="Calibri"/>
          <w:b/>
          <w:color w:val="0B3D5C"/>
          <w:sz w:val="30"/>
        </w:rPr>
        <w:t>References</w:t>
      </w:r>
    </w:p>
    <w:p>
      <w:pPr>
        <w:spacing w:after="80"/>
      </w:pPr>
      <w:r>
        <w:rPr>
          <w:sz w:val="19"/>
        </w:rPr>
        <w:t>Ronneberger, O., Fischer, P., Brox, T. (2015). U-Net: Convolutional Networks for Biomedical Image Segmentation. MICCAI.</w:t>
      </w:r>
    </w:p>
    <w:p>
      <w:pPr>
        <w:spacing w:after="80"/>
      </w:pPr>
      <w:r>
        <w:rPr>
          <w:sz w:val="19"/>
        </w:rPr>
        <w:t>Otsu, N. (1979). A Threshold Selection Method from Gray-Level Histograms. IEEE Trans. Systems, Man, and Cybernetics, 9(1), 62–66.</w:t>
      </w:r>
    </w:p>
    <w:p>
      <w:pPr>
        <w:spacing w:after="80"/>
      </w:pPr>
      <w:r>
        <w:rPr>
          <w:sz w:val="19"/>
        </w:rPr>
        <w:t>van der Walt, S. et al. (2014). scikit-image: image processing in Python. PeerJ, 2:e453.</w:t>
      </w:r>
    </w:p>
    <w:p>
      <w:pPr>
        <w:spacing w:after="80"/>
      </w:pPr>
      <w:r>
        <w:rPr>
          <w:sz w:val="19"/>
        </w:rPr>
        <w:t>Sørensen, T. (1948). A method of establishing groups of equal amplitude... Biol. Skr., 5, 1–34. (Dice/Sørensen coefficient.)</w:t>
      </w:r>
    </w:p>
    <w:p>
      <w:pPr>
        <w:spacing w:after="80"/>
      </w:pPr>
      <w:r>
        <w:rPr>
          <w:sz w:val="19"/>
        </w:rPr>
        <w:t>Meta AI (2024). Llama 3.2 Model Card (incl. vision variants). Served locally via Ollama (ollama.com).</w:t>
      </w:r>
    </w:p>
    <w:p>
      <w:pPr>
        <w:spacing w:after="80"/>
      </w:pPr>
      <w:r>
        <w:rPr>
          <w:sz w:val="19"/>
        </w:rPr>
        <w:t>Caicedo, J. C. et al. (2019). Nucleus segmentation across imaging experiments: the 2018 Data Science Bowl. Nature Methods, 16, 1247–1253.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