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Dyson: Xenon Propellant Research Analysis</w:t>
      </w:r>
    </w:p>
    <w:p>
      <w:r>
        <w:rPr>
          <w:i/>
          <w:iCs/>
          <w:sz w:val="24"/>
          <w:szCs w:val="24"/>
        </w:rPr>
        <w:t xml:space="preserve">Transport Vehicle Fleet Propellant Strategy</w:t>
      </w:r>
    </w:p>
    <w:p/>
    <w:p>
      <w:pPr>
        <w:pStyle w:val="Heading2"/>
      </w:pPr>
      <w:r>
        <w:t xml:space="preserve">Executive Summary</w:t>
      </w:r>
    </w:p>
    <w:p>
      <w:pPr>
        <w:spacing w:after="200"/>
      </w:pPr>
      <w:r>
        <w:t xml:space="preserve">This research document addresses the critical propellant sourcing challenges identified in the Project Dyson consensus document. The analysis confirms that the proposed 10-vehicle transport fleet could consume 50,000-150,000 kg of xenon annually, potentially exceeding the entire global production of approximately 40-50 metric tons per year. This presents an existential risk to the project unless mitigated through alternative propellant strategies, supply chain innovations, or in-situ resource utilization (ISRU).</w:t>
      </w:r>
    </w:p>
    <w:p>
      <w:pPr>
        <w:spacing w:after="200"/>
      </w:pPr>
      <w:r>
        <w:t xml:space="preserve">Key findings indicate that a hybrid propellant strategy combining xenon for precision maneuvers with lower-cost alternatives (krypton, argon, or iodine) for bulk delta-V represents the most viable near-term solution. Long-term ISRU remains technically challenging due to extremely low noble gas concentrations in asteroid materials (parts per trillion levels).</w:t>
      </w:r>
    </w:p>
    <w:p>
      <w:pPr>
        <w:pStyle w:val="Heading1"/>
      </w:pPr>
      <w:r>
        <w:t xml:space="preserve">1. Demand Modeling</w:t>
      </w:r>
    </w:p>
    <w:p>
      <w:pPr>
        <w:pStyle w:val="Heading2"/>
      </w:pPr>
      <w:r>
        <w:t xml:space="preserve">1.1 Propellant Mass Requirements Analysis</w:t>
      </w:r>
    </w:p>
    <w:p>
      <w:pPr>
        <w:spacing w:after="200"/>
      </w:pPr>
      <w:r>
        <w:t xml:space="preserve">Using the Tsiolkovsky rocket equation with the specified mission parameters, we can calculate propellant requirements for each transport vehicle mission cycle.</w:t>
      </w:r>
    </w:p>
    <w:p>
      <w:pPr>
        <w:spacing w:after="120"/>
      </w:pPr>
      <w:r>
        <w:rPr>
          <w:b/>
          <w:bCs/>
        </w:rPr>
        <w:t xml:space="preserve">Mission Parameters:</w:t>
      </w:r>
    </w:p>
    <w:p>
      <w:pPr>
        <w:spacing w:after="80"/>
      </w:pPr>
      <w:r>
        <w:t xml:space="preserve">Payload capacity: 200,000 kg</w:t>
      </w:r>
    </w:p>
    <w:p>
      <w:pPr>
        <w:spacing w:after="80"/>
      </w:pPr>
      <w:r>
        <w:t xml:space="preserve">Delta-V requirement: 6-10 km/s per round trip</w:t>
      </w:r>
    </w:p>
    <w:p>
      <w:pPr>
        <w:spacing w:after="80"/>
      </w:pPr>
      <w:r>
        <w:t xml:space="preserve">Hall-effect thruster Isp: 1,600-2,500 seconds</w:t>
      </w:r>
    </w:p>
    <w:p>
      <w:pPr>
        <w:spacing w:after="200"/>
      </w:pPr>
      <w:r>
        <w:t xml:space="preserve">Gridded ion thruster Isp: 3,000-4,000 seconds</w:t>
      </w:r>
    </w:p>
    <w:p>
      <w:pPr>
        <w:pStyle w:val="Heading3"/>
      </w:pPr>
      <w:r>
        <w:t xml:space="preserve">Propellant Mass Calculations</w:t>
      </w:r>
    </w:p>
    <w:p>
      <w:pPr>
        <w:spacing w:after="200"/>
      </w:pPr>
      <w:r>
        <w:t xml:space="preserve">The rocket equation states: m_propellant = m_initial × (1 - e^(-ΔV / (Isp × g₀)))</w:t>
      </w:r>
    </w:p>
    <w:p>
      <w:pPr>
        <w:spacing w:after="200"/>
      </w:pPr>
      <w:r>
        <w:t xml:space="preserve">For a 200,000 kg payload vehicle with estimated dry mass of 50,000 kg (total initial mass ~250,000 kg excluding propellant), the propellant requirements vary significantly based on thruster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Thruster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Isp (s)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6 km/s ΔV (kg)</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10 km/s ΔV (kg)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Hall-effect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Hall-effect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Gridded ion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82,000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Gridded ion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58,000</w:t>
            </w:r>
          </w:p>
        </w:tc>
      </w:tr>
    </w:tbl>
    <w:p>
      <w:pPr>
        <w:spacing w:before="120" w:after="200"/>
      </w:pPr>
      <w:r>
        <w:rPr>
          <w:i/>
          <w:iCs/>
          <w:sz w:val="20"/>
          <w:szCs w:val="20"/>
        </w:rPr>
        <w:t xml:space="preserve">Table 1: Propellant mass requirements per mission by thruster type</w:t>
      </w:r>
    </w:p>
    <w:p>
      <w:pPr>
        <w:pStyle w:val="Heading3"/>
      </w:pPr>
      <w:r>
        <w:t xml:space="preserve">Fleet Annual Demand Projections</w:t>
      </w:r>
    </w:p>
    <w:p>
      <w:pPr>
        <w:spacing w:after="200"/>
      </w:pPr>
      <w:r>
        <w:t xml:space="preserve">For a 10-vehicle fleet with one mission per vehicle per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Per Mission (kg)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Annual Fleet (kg)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(4,000s Isp, 6 km/s)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Expected (2,500s Isp, 8 km/s)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(1,600s Isp, 10 km/s)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1,850,000</w:t>
            </w:r>
          </w:p>
        </w:tc>
      </w:tr>
    </w:tbl>
    <w:p>
      <w:pPr>
        <w:spacing w:before="120" w:after="200"/>
      </w:pPr>
      <w:r>
        <w:rPr>
          <w:i/>
          <w:iCs/>
          <w:sz w:val="20"/>
          <w:szCs w:val="20"/>
        </w:rPr>
        <w:t xml:space="preserve">Table 2: Annual fleet xenon demand projections</w:t>
      </w:r>
    </w:p>
    <w:p>
      <w:pPr>
        <w:spacing w:after="200"/>
      </w:pPr>
      <w:r>
        <w:rPr>
          <w:b/>
          <w:bCs/>
        </w:rPr>
        <w:t xml:space="preserve">Critical Finding: </w:t>
      </w:r>
      <w:r>
        <w:t xml:space="preserve">Even the minimum scenario (320 metric tons annually) exceeds global xenon production by 6-8x. The expected scenario would require 15-20x current global production.</w:t>
      </w:r>
    </w:p>
    <w:p>
      <w:pPr>
        <w:pStyle w:val="Heading1"/>
      </w:pPr>
      <w:r>
        <w:t xml:space="preserve">2. Supply Chain Analysis</w:t>
      </w:r>
    </w:p>
    <w:p>
      <w:pPr>
        <w:pStyle w:val="Heading2"/>
      </w:pPr>
      <w:r>
        <w:t xml:space="preserve">2.1 Current Global Production</w:t>
      </w:r>
    </w:p>
    <w:p>
      <w:pPr>
        <w:spacing w:after="200"/>
      </w:pPr>
      <w:r>
        <w:t xml:space="preserve">Global xenon production is estimated at 40-50 metric tons annually (approximately 6,000-7,000 cubic meters at standard conditions). Xenon is extracted as a byproduct of cryogenic air separation plants that primarily produce oxygen and nitrogen for industrial use. The atmospheric concentration of xenon is extremely low at 87 parts per billion, making it the rarest of the commercially extracted noble gases.</w:t>
      </w:r>
    </w:p>
    <w:p>
      <w:pPr>
        <w:pStyle w:val="Heading3"/>
      </w:pPr>
      <w:r>
        <w:t xml:space="preserve">Market Structure</w:t>
      </w:r>
    </w:p>
    <w:p>
      <w:pPr>
        <w:spacing w:after="200"/>
      </w:pPr>
      <w:r>
        <w:t xml:space="preserve">The xenon market is highly consolidated, with the top five producers controlling over 85% of global supply. Major players include Linde plc, Air Liquide, Air Products and Chemicals, Messer Group, and smaller regional suppliers. The market was valued at approximately $253-260 million in 2023-2024, with projected growth of 2-8% CAGR through 2032-2035.</w:t>
      </w:r>
    </w:p>
    <w:p>
      <w:pPr>
        <w:pStyle w:val="Heading3"/>
      </w:pPr>
      <w:r>
        <w:t xml:space="preserve">Competing Demand Sectors</w:t>
      </w:r>
    </w:p>
    <w:p>
      <w:pPr>
        <w:spacing w:after="200"/>
      </w:pPr>
      <w:r>
        <w:t xml:space="preserve">Key competing sectors for xenon include: semiconductor manufacturing (excimer lasers for lithography), medical imaging and anesthesia, lighting applications (HID headlamps), scientific research (dark matter detection experiments), and satellite propulsion systems. The semiconductor industry represents a particularly significant and growing demand driver.</w:t>
      </w:r>
    </w:p>
    <w:p>
      <w:pPr>
        <w:pStyle w:val="Heading2"/>
      </w:pPr>
      <w:r>
        <w:t xml:space="preserve">2.2 Production Expansion Potential</w:t>
      </w:r>
    </w:p>
    <w:p>
      <w:pPr>
        <w:spacing w:after="200"/>
      </w:pPr>
      <w:r>
        <w:t xml:space="preserve">Xenon production is inherently limited by the scale of air separation operations. Dedicated xenon production facilities are not economically viable because the extraction process requires processing enormous volumes of air. Production expansion would require either significant growth in industrial gas demand (driving more air separation) or development of dedicated extraction technologies.</w:t>
      </w:r>
    </w:p>
    <w:p>
      <w:pPr>
        <w:spacing w:after="200"/>
      </w:pPr>
      <w:r>
        <w:t xml:space="preserve">Recent capacity expansions include Air Liquide's krypton and xenon purification facility in Cheonan, South Korea (operational 2025) and Linde's production expansion in Germany (2023). However, these expansions represent incremental capacity additions, not the order-of-magnitude increases required for Project Dyson.</w:t>
      </w:r>
    </w:p>
    <w:p>
      <w:pPr>
        <w:pStyle w:val="Heading2"/>
      </w:pPr>
      <w:r>
        <w:t xml:space="preserve">2.3 Pricing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Propellant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Price Range ($/kg)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Relative to Xenon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Xenon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$5,000 - $12,000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1.0x (baseline)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Krypton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$2,100 - $4,800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0.3-0.5x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Argon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$7 -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0.001x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Iodine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0.01x</w:t>
            </w:r>
          </w:p>
        </w:tc>
      </w:tr>
    </w:tbl>
    <w:p>
      <w:pPr>
        <w:spacing w:before="120" w:after="200"/>
      </w:pPr>
      <w:r>
        <w:rPr>
          <w:i/>
          <w:iCs/>
          <w:sz w:val="20"/>
          <w:szCs w:val="20"/>
        </w:rPr>
        <w:t xml:space="preserve">Table 3: Propellant cost comparison</w:t>
      </w:r>
    </w:p>
    <w:p>
      <w:pPr>
        <w:spacing w:after="200"/>
      </w:pPr>
      <w:r>
        <w:rPr>
          <w:b/>
          <w:bCs/>
        </w:rPr>
        <w:t xml:space="preserve">Supply Strategy Recommendation: </w:t>
      </w:r>
      <w:r>
        <w:t xml:space="preserve">Long-term supply contracts with multiple producers, combined with strategic propellant reserves and alternative propellant qualification, are essential to mitigate supply risk.</w:t>
      </w:r>
    </w:p>
    <w:p>
      <w:pPr>
        <w:pStyle w:val="Heading1"/>
      </w:pPr>
      <w:r>
        <w:t xml:space="preserve">3. Alternative Propellant Qualification</w:t>
      </w:r>
    </w:p>
    <w:p>
      <w:pPr>
        <w:pStyle w:val="Heading2"/>
      </w:pPr>
      <w:r>
        <w:t xml:space="preserve">3.1 Krypton</w:t>
      </w:r>
    </w:p>
    <w:p>
      <w:pPr>
        <w:spacing w:after="200"/>
      </w:pPr>
      <w:r>
        <w:t xml:space="preserve">Krypton has emerged as the leading xenon alternative, demonstrated at scale by SpaceX's Starlink V1 constellation (over 4,000 satellites). Krypton offers approximately 10x the atmospheric abundance of xenon and costs 50-70% less. However, performance penalties include: higher ionization energy (13.996 eV vs 12.13 eV for xenon), lower atomic mass (83.8 amu vs 131.3 amu), approximately 25-30% lower thrust efficiency, and 1.5-2x higher channel erosion rates reducing thruster lifetime.</w:t>
      </w:r>
    </w:p>
    <w:p>
      <w:pPr>
        <w:spacing w:after="200"/>
      </w:pPr>
      <w:r>
        <w:t xml:space="preserve">For high-power thrusters (&gt;10 kW), the efficiency gap narrows significantly, making krypton more attractive for Project Dyson's transport vehicles.</w:t>
      </w:r>
    </w:p>
    <w:p>
      <w:pPr>
        <w:pStyle w:val="Heading2"/>
      </w:pPr>
      <w:r>
        <w:t xml:space="preserve">3.2 Argon</w:t>
      </w:r>
    </w:p>
    <w:p>
      <w:pPr>
        <w:spacing w:after="200"/>
      </w:pPr>
      <w:r>
        <w:t xml:space="preserve">Argon represents the most abundant and economical option, comprising 0.93% of Earth's atmosphere versus 87 ppb for xenon. SpaceX transitioned Starlink V2 satellites to argon thrusters, achieving 2.4x higher thrust and 1.5x higher Isp compared to their krypton systems. Performance characteristics include: significantly higher ionization energy (15.76 eV), lower atomic mass (39.95 amu) resulting in 40-50% lower thrust-to-power ratio, but higher achievable specific impulse (up to 2,200 seconds demonstrated).</w:t>
      </w:r>
    </w:p>
    <w:p>
      <w:pPr>
        <w:spacing w:after="200"/>
      </w:pPr>
      <w:r>
        <w:t xml:space="preserve">The primary challenges are lower thrust density and larger propellant tank requirements due to lower storage density.</w:t>
      </w:r>
    </w:p>
    <w:p>
      <w:pPr>
        <w:pStyle w:val="Heading2"/>
      </w:pPr>
      <w:r>
        <w:t xml:space="preserve">3.3 Iodine</w:t>
      </w:r>
    </w:p>
    <w:p>
      <w:pPr>
        <w:spacing w:after="200"/>
      </w:pPr>
      <w:r>
        <w:t xml:space="preserve">Iodine presents a compelling alternative with performance nearly identical to xenon at 1-2% of the cost. Key advantages include: similar atomic mass (126.9 amu) and ionization energy (10.5 eV for atomic, 9.4 eV for molecular), solid storage at ambient conditions (density 3x pressurized xenon), no high-pressure storage requirements, and demonstrated flight heritage (ThrustMe NPT30-I2, 2020).</w:t>
      </w:r>
    </w:p>
    <w:p>
      <w:pPr>
        <w:spacing w:after="200"/>
      </w:pPr>
      <w:r>
        <w:t xml:space="preserve">Challenges include: corrosive properties requiring specialized materials, need for heated propellant feed systems (80-100°C), potential spacecraft contamination from exhaust deposition, and cathode compatibility issues (most implementations use xenon-fed cathodes).</w:t>
      </w:r>
    </w:p>
    <w:p>
      <w:pPr>
        <w:pStyle w:val="Heading2"/>
      </w:pPr>
      <w:r>
        <w:t xml:space="preserve">3.4 Performance Comparison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Xenon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Krypton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Argon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Iodine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Atomic Mass (amu)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39.95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126.9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Ionization (eV)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13.99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15.76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10.45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Rel. Efficiency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70-85%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95-100%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Rel. Cost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7-8</w:t>
            </w:r>
          </w:p>
        </w:tc>
      </w:tr>
    </w:tbl>
    <w:p>
      <w:pPr>
        <w:spacing w:before="120" w:after="200"/>
      </w:pPr>
      <w:r>
        <w:rPr>
          <w:i/>
          <w:iCs/>
          <w:sz w:val="20"/>
          <w:szCs w:val="20"/>
        </w:rPr>
        <w:t xml:space="preserve">Table 4: Alternative propellant comparison (TRL = Technology Readiness Level)</w:t>
      </w:r>
    </w:p>
    <w:p>
      <w:pPr>
        <w:pStyle w:val="Heading1"/>
      </w:pPr>
      <w:r>
        <w:t xml:space="preserve">4. In-Situ Resource Utilization (ISRU) Feasibility</w:t>
      </w:r>
    </w:p>
    <w:p>
      <w:pPr>
        <w:pStyle w:val="Heading2"/>
      </w:pPr>
      <w:r>
        <w:t xml:space="preserve">4.1 Noble Gas Concentrations in Asteroids</w:t>
      </w:r>
    </w:p>
    <w:p>
      <w:pPr>
        <w:spacing w:after="200"/>
      </w:pPr>
      <w:r>
        <w:t xml:space="preserve">Analysis of samples returned from asteroid Ryugu (Hayabusa2 mission) and data from meteorite studies provide the most direct evidence of noble gas concentrations in asteroid materials. Key findings indicate that xenon concentrations in carbonaceous chondrites and asteroid samples are measured in parts per trillion (ppt), with even the most primitive, volatile-rich materials containing less than 100 ppt xenon. Noble gas concentrations in Ryugu samples are higher than in CI chondrites but still represent extraordinarily low abundances.</w:t>
      </w:r>
    </w:p>
    <w:p>
      <w:pPr>
        <w:spacing w:after="200"/>
      </w:pPr>
      <w:r>
        <w:t xml:space="preserve">Within the Solar System, the nucleon fraction of xenon is approximately 1.56×10⁻⁸, or about one part in 630,000 of total mass. This extreme scarcity fundamentally limits ISRU potential.</w:t>
      </w:r>
    </w:p>
    <w:p>
      <w:pPr>
        <w:pStyle w:val="Heading2"/>
      </w:pPr>
      <w:r>
        <w:t xml:space="preserve">4.2 Extraction Requirements Analysis</w:t>
      </w:r>
    </w:p>
    <w:p>
      <w:pPr>
        <w:spacing w:after="200"/>
      </w:pPr>
      <w:r>
        <w:t xml:space="preserve">To produce 1 kg of xenon from asteroid material at 100 ppt concentration would require processing 10 billion kg (10 million metric tons) of material. Even at hypothetically elevated concentrations of 1 ppm, extraction of 1 kg xenon would require processing 1 million metric tons of regolith. The energy requirements for heating, volatilizing, separating, and purifying such quantities far exceed practical limits.</w:t>
      </w:r>
    </w:p>
    <w:p>
      <w:pPr>
        <w:spacing w:after="200"/>
      </w:pPr>
      <w:r>
        <w:rPr>
          <w:b/>
          <w:bCs/>
        </w:rPr>
        <w:t xml:space="preserve">ISRU Assessment: </w:t>
      </w:r>
      <w:r>
        <w:t xml:space="preserve">Xenon extraction from asteroid materials is not feasible within any reasonable timeframe or energy budget. Noble gas ISRU should be considered a non-starter for Project Dyson propellant supply.</w:t>
      </w:r>
    </w:p>
    <w:p>
      <w:pPr>
        <w:pStyle w:val="Heading2"/>
      </w:pPr>
      <w:r>
        <w:t xml:space="preserve">4.3 Alternative ISRU Propellants</w:t>
      </w:r>
    </w:p>
    <w:p>
      <w:pPr>
        <w:spacing w:after="200"/>
      </w:pPr>
      <w:r>
        <w:t xml:space="preserve">While noble gas ISRU is impractical, other ISRU propellant options merit consideration: water electrolysis for hydrogen/oxygen chemical propulsion, regolith-based propellants for electrostatic thrusters (dust accelerators), and metal extraction (iron, nickel, aluminum) for solid-storable propellants. These approaches align better with asteroid composition and processing capabilities.</w:t>
      </w:r>
    </w:p>
    <w:p>
      <w:pPr>
        <w:pStyle w:val="Heading1"/>
      </w:pPr>
      <w:r>
        <w:t xml:space="preserve">5. Hybrid Propulsion Architecture</w:t>
      </w:r>
    </w:p>
    <w:p>
      <w:pPr>
        <w:pStyle w:val="Heading2"/>
      </w:pPr>
      <w:r>
        <w:t xml:space="preserve">5.1 Dual-Propellant System Concept</w:t>
      </w:r>
    </w:p>
    <w:p>
      <w:pPr>
        <w:spacing w:after="200"/>
      </w:pPr>
      <w:r>
        <w:t xml:space="preserve">A hybrid architecture using xenon for precision maneuvers and lower-cost alternatives for bulk delta-V offers the optimal balance of performance and cost. The proposed configuration includes: high-precision xenon thrusters (10-20% of total propellant) for docking, station-keeping, and fine trajectory adjustments; bulk delta-V thrusters using krypton/argon/iodine (80-90% of propellant) for major orbital transfers; and shared power processing units with propellant-agnostic capabilities where feasible.</w:t>
      </w:r>
    </w:p>
    <w:p>
      <w:pPr>
        <w:pStyle w:val="Heading2"/>
      </w:pPr>
      <w:r>
        <w:t xml:space="preserve">5.2 Mass and Complexity Analysis</w:t>
      </w:r>
    </w:p>
    <w:p>
      <w:pPr>
        <w:spacing w:after="200"/>
      </w:pPr>
      <w:r>
        <w:t xml:space="preserve">Dual-propellant systems incur penalties including: 15-25% increase in propulsion system dry mass, additional propellant tanks and feed systems, more complex power processing requirements, and increased qualification and testing costs. However, these penalties are offset by: 50-90% reduction in propellant costs, elimination of supply chain single-point-of-failure, and mission flexibility for varied delta-V profiles.</w:t>
      </w:r>
    </w:p>
    <w:p>
      <w:pPr>
        <w:pStyle w:val="Heading2"/>
      </w:pPr>
      <w:r>
        <w:t xml:space="preserve">5.3 Recommended Architecture</w:t>
      </w:r>
    </w:p>
    <w:p>
      <w:pPr>
        <w:spacing w:after="200"/>
      </w:pPr>
      <w:r>
        <w:t xml:space="preserve">Based on the analysis, the recommended propellant strategy for Project Dyson transport vehicles is a phased approach:</w:t>
      </w:r>
    </w:p>
    <w:p>
      <w:pPr>
        <w:spacing w:after="120"/>
      </w:pPr>
      <w:r>
        <w:rPr>
          <w:b/>
          <w:bCs/>
        </w:rPr>
        <w:t xml:space="preserve">Phase 1 (Years 1-5): </w:t>
      </w:r>
      <w:r>
        <w:t xml:space="preserve">Krypton-primary architecture with xenon backup for precision maneuvers. Krypton offers the best balance of flight heritage, performance, and availability for initial operations.</w:t>
      </w:r>
    </w:p>
    <w:p>
      <w:pPr>
        <w:spacing w:after="120"/>
      </w:pPr>
      <w:r>
        <w:rPr>
          <w:b/>
          <w:bCs/>
        </w:rPr>
        <w:t xml:space="preserve">Phase 2 (Years 5-10): </w:t>
      </w:r>
      <w:r>
        <w:t xml:space="preserve">Iodine integration for bulk delta-V as technology matures. Iodine's near-xenon performance at 1% cost makes it compelling for high-throughput operations.</w:t>
      </w:r>
    </w:p>
    <w:p>
      <w:pPr>
        <w:spacing w:after="200"/>
      </w:pPr>
      <w:r>
        <w:rPr>
          <w:b/>
          <w:bCs/>
        </w:rPr>
        <w:t xml:space="preserve">Phase 3 (Years 10+): </w:t>
      </w:r>
      <w:r>
        <w:t xml:space="preserve">Evaluation of argon systems for highest-volume operations where specific impulse (fuel efficiency) outweighs thrust-to-power considerations.</w:t>
      </w:r>
    </w:p>
    <w:p>
      <w:pPr>
        <w:pStyle w:val="Heading1"/>
      </w:pPr>
      <w:r>
        <w:t xml:space="preserve">6. Conclusions and Recommendations</w:t>
      </w:r>
    </w:p>
    <w:p>
      <w:pPr>
        <w:pStyle w:val="Heading2"/>
      </w:pPr>
      <w:r>
        <w:t xml:space="preserve">6.1 Key Findings</w:t>
      </w:r>
    </w:p>
    <w:p>
      <w:pPr>
        <w:spacing w:after="120"/>
      </w:pPr>
      <w:r>
        <w:t xml:space="preserve">1. Xenon supply is fundamentally inadequate for Project Dyson at planned scale, with annual demand potentially exceeding 15-20x global production.</w:t>
      </w:r>
    </w:p>
    <w:p>
      <w:pPr>
        <w:spacing w:after="120"/>
      </w:pPr>
      <w:r>
        <w:t xml:space="preserve">2. Alternative propellants (krypton, argon, iodine) are technically viable with acceptable performance trade-offs for bulk operations.</w:t>
      </w:r>
    </w:p>
    <w:p>
      <w:pPr>
        <w:spacing w:after="120"/>
      </w:pPr>
      <w:r>
        <w:t xml:space="preserve">3. Noble gas ISRU from asteroids is not feasible due to parts-per-trillion concentrations.</w:t>
      </w:r>
    </w:p>
    <w:p>
      <w:pPr>
        <w:spacing w:after="200"/>
      </w:pPr>
      <w:r>
        <w:t xml:space="preserve">4. Hybrid propulsion architectures offer the best risk-adjusted approach for Project Dyson.</w:t>
      </w:r>
    </w:p>
    <w:p>
      <w:pPr>
        <w:pStyle w:val="Heading2"/>
      </w:pPr>
      <w:r>
        <w:t xml:space="preserve">6.2 Recommended Actions</w:t>
      </w:r>
    </w:p>
    <w:p>
      <w:pPr>
        <w:spacing w:after="120"/>
      </w:pPr>
      <w:r>
        <w:t xml:space="preserve">1. Commission immediate thruster qualification programs for krypton and iodine propellants at the 5-20 kW power levels appropriate for transport vehicles.</w:t>
      </w:r>
    </w:p>
    <w:p>
      <w:pPr>
        <w:spacing w:after="120"/>
      </w:pPr>
      <w:r>
        <w:t xml:space="preserve">2. Establish long-term supply agreements with multiple xenon/krypton producers, with volume commitments contingent on verified production capacity.</w:t>
      </w:r>
    </w:p>
    <w:p>
      <w:pPr>
        <w:spacing w:after="120"/>
      </w:pPr>
      <w:r>
        <w:t xml:space="preserve">3. Design transport vehicle propulsion systems with propellant flexibility from the outset, avoiding xenon-only architectures.</w:t>
      </w:r>
    </w:p>
    <w:p>
      <w:pPr>
        <w:spacing w:after="120"/>
      </w:pPr>
      <w:r>
        <w:t xml:space="preserve">4. Allocate $50-100M for propellant strategy development, including thruster testing, supply chain development, and depot infrastructure design.</w:t>
      </w:r>
    </w:p>
    <w:p>
      <w:pPr>
        <w:spacing w:after="200"/>
      </w:pPr>
      <w:r>
        <w:t xml:space="preserve">5. Remove xenon ISRU from project planning and redirect those resources to more viable approaches.</w:t>
      </w:r>
    </w:p>
    <w:p>
      <w:pPr>
        <w:pStyle w:val="Heading2"/>
      </w:pPr>
      <w:r>
        <w:t xml:space="preserve">6.3 Risk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Risk</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Likelihood</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Xenon supply shortage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Alt. propellants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Price escalation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Long-term contracts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Alt. propellant perf.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Early qualification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ISRU failure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Remove from plan</w:t>
            </w:r>
          </w:p>
        </w:tc>
      </w:tr>
    </w:tbl>
    <w:p>
      <w:pPr>
        <w:spacing w:before="120" w:after="200"/>
      </w:pPr>
      <w:r>
        <w:rPr>
          <w:i/>
          <w:iCs/>
          <w:sz w:val="20"/>
          <w:szCs w:val="20"/>
        </w:rPr>
        <w:t xml:space="preserve">Table 5: Risk assessment matrix</w:t>
      </w:r>
    </w:p>
    <w:p>
      <w:pPr>
        <w:pStyle w:val="Heading1"/>
      </w:pPr>
      <w:r>
        <w:t xml:space="preserve">References</w:t>
      </w:r>
    </w:p>
    <w:p>
      <w:pPr>
        <w:spacing w:after="80"/>
      </w:pPr>
      <w:r>
        <w:rPr>
          <w:sz w:val="22"/>
          <w:szCs w:val="22"/>
        </w:rPr>
        <w:t xml:space="preserve">1. </w:t>
      </w:r>
      <w:r>
        <w:rPr>
          <w:sz w:val="22"/>
          <w:szCs w:val="22"/>
        </w:rPr>
        <w:t xml:space="preserve">Okazaki et al. (2022). Noble gases and nitrogen in samples of asteroid Ryugu. Science.</w:t>
      </w:r>
    </w:p>
    <w:p>
      <w:pPr>
        <w:spacing w:after="80"/>
      </w:pPr>
      <w:r>
        <w:rPr>
          <w:sz w:val="22"/>
          <w:szCs w:val="22"/>
        </w:rPr>
        <w:t xml:space="preserve">2. </w:t>
      </w:r>
      <w:r>
        <w:rPr>
          <w:sz w:val="22"/>
          <w:szCs w:val="22"/>
        </w:rPr>
        <w:t xml:space="preserve">Rafalskyi et al. (2023). Review of alternative propellants in Hall thrusters. Acta Astronautica.</w:t>
      </w:r>
    </w:p>
    <w:p>
      <w:pPr>
        <w:spacing w:after="80"/>
      </w:pPr>
      <w:r>
        <w:rPr>
          <w:sz w:val="22"/>
          <w:szCs w:val="22"/>
        </w:rPr>
        <w:t xml:space="preserve">3. </w:t>
      </w:r>
      <w:r>
        <w:rPr>
          <w:sz w:val="22"/>
          <w:szCs w:val="22"/>
        </w:rPr>
        <w:t xml:space="preserve">Fortune Business Insights (2024). Global Xenon Market Report 2024-2032.</w:t>
      </w:r>
    </w:p>
    <w:p>
      <w:pPr>
        <w:spacing w:after="80"/>
      </w:pPr>
      <w:r>
        <w:rPr>
          <w:sz w:val="22"/>
          <w:szCs w:val="22"/>
        </w:rPr>
        <w:t xml:space="preserve">4. </w:t>
      </w:r>
      <w:r>
        <w:rPr>
          <w:sz w:val="22"/>
          <w:szCs w:val="22"/>
        </w:rPr>
        <w:t xml:space="preserve">NASA Glenn Research Center. Hall Effect Thruster Technologies. technology.nasa.gov.</w:t>
      </w:r>
    </w:p>
    <w:p>
      <w:pPr>
        <w:spacing w:after="80"/>
      </w:pPr>
      <w:r>
        <w:rPr>
          <w:sz w:val="22"/>
          <w:szCs w:val="22"/>
        </w:rPr>
        <w:t xml:space="preserve">5. </w:t>
      </w:r>
      <w:r>
        <w:rPr>
          <w:sz w:val="22"/>
          <w:szCs w:val="22"/>
        </w:rPr>
        <w:t xml:space="preserve">Busek Co. Hall Thruster Performance Data. busek.com.</w:t>
      </w:r>
    </w:p>
    <w:p>
      <w:pPr>
        <w:spacing w:after="80"/>
      </w:pPr>
      <w:r>
        <w:rPr>
          <w:sz w:val="22"/>
          <w:szCs w:val="22"/>
        </w:rPr>
        <w:t xml:space="preserve">6. </w:t>
      </w:r>
      <w:r>
        <w:rPr>
          <w:sz w:val="22"/>
          <w:szCs w:val="22"/>
        </w:rPr>
        <w:t xml:space="preserve">ESA. Use of Iodine as a Propellant for Hall Effect Thrusters. esa.int.</w:t>
      </w:r>
    </w:p>
    <w:p>
      <w:pPr>
        <w:spacing w:after="80"/>
      </w:pPr>
      <w:r>
        <w:rPr>
          <w:sz w:val="22"/>
          <w:szCs w:val="22"/>
        </w:rPr>
        <w:t xml:space="preserve">7. </w:t>
      </w:r>
      <w:r>
        <w:rPr>
          <w:sz w:val="22"/>
          <w:szCs w:val="22"/>
        </w:rPr>
        <w:t xml:space="preserve">SETS Space. Xenon, Krypton, or Argon Propellants for Hall Thruster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2026-02-03T22:02:41.219Z</dcterms:created>
  <dcterms:modified xsi:type="dcterms:W3CDTF">2026-02-03T22:02:41.220Z</dcterms:modified>
</cp:coreProperties>
</file>

<file path=docProps/custom.xml><?xml version="1.0" encoding="utf-8"?>
<Properties xmlns="http://schemas.openxmlformats.org/officeDocument/2006/custom-properties" xmlns:vt="http://schemas.openxmlformats.org/officeDocument/2006/docPropsVTypes"/>
</file>