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9190" w14:textId="77777777" w:rsidR="002C0ABF" w:rsidRPr="00C2558B" w:rsidRDefault="00EF35B1" w:rsidP="00C2558B">
      <w:pPr>
        <w:spacing w:after="120" w:line="240" w:lineRule="auto"/>
        <w:jc w:val="center"/>
        <w:rPr>
          <w:rFonts w:ascii="Open Sans" w:hAnsi="Open Sans" w:cs="Open Sans"/>
          <w:b/>
          <w:sz w:val="20"/>
        </w:rPr>
      </w:pPr>
      <w:r w:rsidRPr="00C2558B">
        <w:rPr>
          <w:rFonts w:ascii="Open Sans" w:hAnsi="Open Sans" w:cs="Open Sans"/>
          <w:b/>
          <w:sz w:val="20"/>
        </w:rPr>
        <w:t xml:space="preserve">Chapter 4. </w:t>
      </w:r>
    </w:p>
    <w:p w14:paraId="7084EFB9" w14:textId="1297FEFB" w:rsidR="00285C02" w:rsidRPr="00C2558B" w:rsidRDefault="00CA43C3" w:rsidP="00C2558B">
      <w:pPr>
        <w:spacing w:after="120" w:line="240" w:lineRule="auto"/>
        <w:jc w:val="center"/>
        <w:rPr>
          <w:rFonts w:ascii="Open Sans" w:hAnsi="Open Sans" w:cs="Open Sans"/>
          <w:b/>
          <w:sz w:val="20"/>
        </w:rPr>
      </w:pPr>
      <w:r w:rsidRPr="00C2558B">
        <w:rPr>
          <w:rFonts w:ascii="Open Sans" w:hAnsi="Open Sans" w:cs="Open Sans"/>
          <w:b/>
          <w:sz w:val="20"/>
        </w:rPr>
        <w:t>Monitoring the interlinked goals – data and measurement considerations</w:t>
      </w:r>
    </w:p>
    <w:p w14:paraId="023DF517" w14:textId="77777777" w:rsidR="00EF35B1" w:rsidRPr="00077757" w:rsidRDefault="00EF35B1" w:rsidP="00077757">
      <w:pPr>
        <w:spacing w:line="240" w:lineRule="auto"/>
        <w:rPr>
          <w:rFonts w:ascii="Open Sans" w:hAnsi="Open Sans" w:cs="Open Sans"/>
        </w:rPr>
      </w:pPr>
    </w:p>
    <w:p w14:paraId="13D534C3" w14:textId="154C0A60" w:rsidR="005C7EC1" w:rsidRPr="009A730F" w:rsidRDefault="005C7EC1" w:rsidP="009A730F">
      <w:pPr>
        <w:pStyle w:val="Heading1"/>
        <w:spacing w:after="120" w:line="240" w:lineRule="auto"/>
        <w:ind w:left="432" w:hanging="432"/>
        <w:jc w:val="both"/>
        <w:rPr>
          <w:rFonts w:ascii="Open Sans" w:hAnsi="Open Sans"/>
          <w:b/>
          <w:sz w:val="20"/>
        </w:rPr>
      </w:pPr>
      <w:commentRangeStart w:id="0"/>
      <w:r w:rsidRPr="009A730F">
        <w:rPr>
          <w:rFonts w:ascii="Open Sans" w:hAnsi="Open Sans"/>
          <w:b/>
          <w:sz w:val="20"/>
        </w:rPr>
        <w:t>Introduction</w:t>
      </w:r>
      <w:commentRangeEnd w:id="0"/>
      <w:r w:rsidR="00694957">
        <w:rPr>
          <w:rStyle w:val="CommentReference"/>
          <w:rFonts w:asciiTheme="minorHAnsi" w:eastAsiaTheme="minorHAnsi" w:hAnsiTheme="minorHAnsi" w:cstheme="minorBidi"/>
          <w:color w:val="auto"/>
          <w:kern w:val="0"/>
          <w14:ligatures w14:val="none"/>
        </w:rPr>
        <w:commentReference w:id="0"/>
      </w:r>
    </w:p>
    <w:p w14:paraId="6EF9E742" w14:textId="77777777" w:rsidR="00C1660A" w:rsidRDefault="00C1660A">
      <w:pPr>
        <w:spacing w:line="240" w:lineRule="auto"/>
        <w:jc w:val="both"/>
        <w:rPr>
          <w:rFonts w:ascii="Open Sans" w:hAnsi="Open Sans" w:cs="Open Sans"/>
          <w:sz w:val="20"/>
          <w:szCs w:val="20"/>
        </w:rPr>
      </w:pPr>
    </w:p>
    <w:p w14:paraId="7EE0AC79" w14:textId="7C47D94E" w:rsidR="00CB75E3" w:rsidRDefault="00C1660A">
      <w:pPr>
        <w:spacing w:line="240" w:lineRule="auto"/>
        <w:jc w:val="both"/>
        <w:rPr>
          <w:rFonts w:ascii="Open Sans" w:hAnsi="Open Sans" w:cs="Open Sans"/>
          <w:sz w:val="20"/>
          <w:szCs w:val="20"/>
        </w:rPr>
      </w:pPr>
      <w:r w:rsidRPr="00C1660A">
        <w:rPr>
          <w:rFonts w:ascii="Open Sans" w:hAnsi="Open Sans" w:cs="Open Sans"/>
          <w:sz w:val="20"/>
          <w:szCs w:val="20"/>
        </w:rPr>
        <w:t>This report monitors the progress of the World Bank’s new vision, aimed at guiding policy actions to create a world free of poverty on a livable planet. Table 1 presents the set of vision indicators chosen to track this progress, encompassing three key dimensions: poverty, prosperity, and a livable planet. The livable planet indicators cover aspects such as climate risks and mitigation, healthy ecosystems, and essential life necessities.</w:t>
      </w:r>
      <w:r w:rsidR="0030494B">
        <w:rPr>
          <w:rStyle w:val="FootnoteReference"/>
          <w:rFonts w:ascii="Open Sans" w:hAnsi="Open Sans" w:cs="Open Sans"/>
          <w:sz w:val="20"/>
          <w:szCs w:val="20"/>
        </w:rPr>
        <w:footnoteReference w:id="2"/>
      </w:r>
      <w:r w:rsidR="00AE6182">
        <w:rPr>
          <w:rFonts w:ascii="Open Sans" w:hAnsi="Open Sans" w:cs="Open Sans"/>
          <w:sz w:val="20"/>
          <w:szCs w:val="20"/>
        </w:rPr>
        <w:t xml:space="preserve"> </w:t>
      </w:r>
    </w:p>
    <w:p w14:paraId="38ECE3C0" w14:textId="72E32DF5" w:rsidR="00DC18DC" w:rsidRDefault="00B72C28" w:rsidP="00077757">
      <w:pPr>
        <w:spacing w:line="240" w:lineRule="auto"/>
        <w:jc w:val="both"/>
        <w:rPr>
          <w:rFonts w:ascii="Open Sans" w:hAnsi="Open Sans" w:cs="Open Sans"/>
          <w:sz w:val="20"/>
          <w:szCs w:val="20"/>
        </w:rPr>
      </w:pPr>
      <w:r w:rsidRPr="00B72C28">
        <w:rPr>
          <w:rFonts w:ascii="Open Sans" w:hAnsi="Open Sans" w:cs="Open Sans"/>
          <w:sz w:val="20"/>
          <w:szCs w:val="20"/>
        </w:rPr>
        <w:t xml:space="preserve">This chapter summarizes key points regarding the </w:t>
      </w:r>
      <w:r w:rsidR="0049646A">
        <w:rPr>
          <w:rFonts w:ascii="Open Sans" w:hAnsi="Open Sans" w:cs="Open Sans"/>
          <w:sz w:val="20"/>
          <w:szCs w:val="20"/>
        </w:rPr>
        <w:t xml:space="preserve">data and </w:t>
      </w:r>
      <w:r w:rsidRPr="00B72C28">
        <w:rPr>
          <w:rFonts w:ascii="Open Sans" w:hAnsi="Open Sans" w:cs="Open Sans"/>
          <w:sz w:val="20"/>
          <w:szCs w:val="20"/>
        </w:rPr>
        <w:t xml:space="preserve">measurement of these indicators </w:t>
      </w:r>
      <w:r w:rsidR="00FA0D5E">
        <w:rPr>
          <w:rFonts w:ascii="Open Sans" w:hAnsi="Open Sans" w:cs="Open Sans"/>
          <w:sz w:val="20"/>
          <w:szCs w:val="20"/>
        </w:rPr>
        <w:t xml:space="preserve">in </w:t>
      </w:r>
      <w:r w:rsidR="00FC75C8">
        <w:rPr>
          <w:rFonts w:ascii="Open Sans" w:hAnsi="Open Sans" w:cs="Open Sans"/>
          <w:sz w:val="20"/>
          <w:szCs w:val="20"/>
        </w:rPr>
        <w:t>aspects</w:t>
      </w:r>
      <w:r w:rsidR="00FA0D5E">
        <w:rPr>
          <w:rFonts w:ascii="Open Sans" w:hAnsi="Open Sans" w:cs="Open Sans"/>
          <w:sz w:val="20"/>
          <w:szCs w:val="20"/>
        </w:rPr>
        <w:t xml:space="preserve"> relevant to what this report covered. </w:t>
      </w:r>
      <w:r w:rsidR="00B24BE3">
        <w:rPr>
          <w:rFonts w:ascii="Open Sans" w:hAnsi="Open Sans" w:cs="Open Sans"/>
          <w:sz w:val="20"/>
          <w:szCs w:val="20"/>
        </w:rPr>
        <w:t>It</w:t>
      </w:r>
      <w:r w:rsidRPr="00B72C28">
        <w:rPr>
          <w:rFonts w:ascii="Open Sans" w:hAnsi="Open Sans" w:cs="Open Sans"/>
          <w:sz w:val="20"/>
          <w:szCs w:val="20"/>
        </w:rPr>
        <w:t xml:space="preserve"> highlights areas for action to improve data availability and measurement for better monitoring of this expanded vision. It begins by discussing the </w:t>
      </w:r>
      <w:r w:rsidR="00D74041">
        <w:rPr>
          <w:rFonts w:ascii="Open Sans" w:hAnsi="Open Sans" w:cs="Open Sans"/>
          <w:sz w:val="20"/>
          <w:szCs w:val="20"/>
        </w:rPr>
        <w:t>main</w:t>
      </w:r>
      <w:r w:rsidRPr="00B72C28">
        <w:rPr>
          <w:rFonts w:ascii="Open Sans" w:hAnsi="Open Sans" w:cs="Open Sans"/>
          <w:sz w:val="20"/>
          <w:szCs w:val="20"/>
        </w:rPr>
        <w:t xml:space="preserve"> data </w:t>
      </w:r>
      <w:r w:rsidR="00D74041">
        <w:rPr>
          <w:rFonts w:ascii="Open Sans" w:hAnsi="Open Sans" w:cs="Open Sans"/>
          <w:sz w:val="20"/>
          <w:szCs w:val="20"/>
        </w:rPr>
        <w:t xml:space="preserve">sources </w:t>
      </w:r>
      <w:r w:rsidR="00E436D6">
        <w:rPr>
          <w:rFonts w:ascii="Open Sans" w:hAnsi="Open Sans" w:cs="Open Sans"/>
          <w:sz w:val="20"/>
          <w:szCs w:val="20"/>
        </w:rPr>
        <w:t>used</w:t>
      </w:r>
      <w:r w:rsidRPr="00B72C28">
        <w:rPr>
          <w:rFonts w:ascii="Open Sans" w:hAnsi="Open Sans" w:cs="Open Sans"/>
          <w:sz w:val="20"/>
          <w:szCs w:val="20"/>
        </w:rPr>
        <w:t xml:space="preserve"> for the </w:t>
      </w:r>
      <w:r w:rsidR="00E436D6">
        <w:rPr>
          <w:rFonts w:ascii="Open Sans" w:hAnsi="Open Sans" w:cs="Open Sans"/>
          <w:sz w:val="20"/>
          <w:szCs w:val="20"/>
        </w:rPr>
        <w:t xml:space="preserve">indicators </w:t>
      </w:r>
      <w:r w:rsidR="00D74041">
        <w:rPr>
          <w:rFonts w:ascii="Open Sans" w:hAnsi="Open Sans" w:cs="Open Sans"/>
          <w:sz w:val="20"/>
          <w:szCs w:val="20"/>
        </w:rPr>
        <w:t>and some challenges and ongoing work</w:t>
      </w:r>
      <w:r w:rsidRPr="00B72C28">
        <w:rPr>
          <w:rFonts w:ascii="Open Sans" w:hAnsi="Open Sans" w:cs="Open Sans"/>
          <w:sz w:val="20"/>
          <w:szCs w:val="20"/>
        </w:rPr>
        <w:t>. Additionally, it addresses key measurement challenges and potential short-term improvements</w:t>
      </w:r>
      <w:r w:rsidR="00E436D6">
        <w:rPr>
          <w:rFonts w:ascii="Open Sans" w:hAnsi="Open Sans" w:cs="Open Sans"/>
          <w:sz w:val="20"/>
          <w:szCs w:val="20"/>
        </w:rPr>
        <w:t xml:space="preserve"> to the indicators</w:t>
      </w:r>
      <w:r w:rsidRPr="00B72C28">
        <w:rPr>
          <w:rFonts w:ascii="Open Sans" w:hAnsi="Open Sans" w:cs="Open Sans"/>
          <w:sz w:val="20"/>
          <w:szCs w:val="20"/>
        </w:rPr>
        <w:t>.</w:t>
      </w:r>
    </w:p>
    <w:p w14:paraId="64265BCB" w14:textId="3976DD86" w:rsidR="00F211E2" w:rsidRDefault="00F211E2">
      <w:pPr>
        <w:spacing w:line="240" w:lineRule="auto"/>
        <w:jc w:val="both"/>
        <w:rPr>
          <w:rFonts w:ascii="Open Sans" w:hAnsi="Open Sans" w:cs="Open Sans"/>
          <w:sz w:val="20"/>
          <w:szCs w:val="20"/>
        </w:rPr>
      </w:pPr>
    </w:p>
    <w:p w14:paraId="7A30AD8F" w14:textId="77777777" w:rsidR="005C7EC1" w:rsidRPr="0099581B" w:rsidRDefault="005C7EC1" w:rsidP="00077757">
      <w:pPr>
        <w:spacing w:after="0" w:line="240" w:lineRule="auto"/>
        <w:jc w:val="center"/>
        <w:rPr>
          <w:rFonts w:ascii="Open Sans" w:hAnsi="Open Sans" w:cs="Open Sans"/>
          <w:b/>
          <w:bCs/>
          <w:sz w:val="20"/>
          <w:szCs w:val="20"/>
        </w:rPr>
      </w:pPr>
      <w:r w:rsidRPr="0099581B">
        <w:rPr>
          <w:rFonts w:ascii="Open Sans" w:hAnsi="Open Sans" w:cs="Open Sans"/>
          <w:b/>
          <w:bCs/>
          <w:sz w:val="20"/>
          <w:szCs w:val="20"/>
        </w:rPr>
        <w:t>Table 1: World Bank’s vision indicators</w:t>
      </w:r>
    </w:p>
    <w:tbl>
      <w:tblPr>
        <w:tblW w:w="9167" w:type="dxa"/>
        <w:tblLook w:val="04A0" w:firstRow="1" w:lastRow="0" w:firstColumn="1" w:lastColumn="0" w:noHBand="0" w:noVBand="1"/>
      </w:tblPr>
      <w:tblGrid>
        <w:gridCol w:w="1800"/>
        <w:gridCol w:w="7367"/>
      </w:tblGrid>
      <w:tr w:rsidR="005C7EC1" w:rsidRPr="000B1548" w14:paraId="732FF4DA" w14:textId="77777777" w:rsidTr="001D1CEF">
        <w:trPr>
          <w:trHeight w:val="268"/>
        </w:trPr>
        <w:tc>
          <w:tcPr>
            <w:tcW w:w="1800" w:type="dxa"/>
            <w:tcBorders>
              <w:top w:val="single" w:sz="4" w:space="0" w:color="auto"/>
              <w:left w:val="nil"/>
              <w:bottom w:val="single" w:sz="4" w:space="0" w:color="auto"/>
              <w:right w:val="nil"/>
            </w:tcBorders>
            <w:shd w:val="clear" w:color="auto" w:fill="auto"/>
            <w:noWrap/>
            <w:vAlign w:val="bottom"/>
            <w:hideMark/>
          </w:tcPr>
          <w:p w14:paraId="387F3193" w14:textId="77777777" w:rsidR="005C7EC1" w:rsidRPr="000B1548" w:rsidRDefault="005C7EC1">
            <w:pPr>
              <w:spacing w:after="0" w:line="240" w:lineRule="auto"/>
              <w:rPr>
                <w:rFonts w:ascii="Open Sans" w:eastAsia="Times New Roman" w:hAnsi="Open Sans" w:cs="Open Sans"/>
                <w:b/>
                <w:bCs/>
                <w:color w:val="000000"/>
                <w:kern w:val="0"/>
                <w:sz w:val="20"/>
                <w:szCs w:val="20"/>
                <w14:ligatures w14:val="none"/>
              </w:rPr>
            </w:pPr>
            <w:r w:rsidRPr="000B1548">
              <w:rPr>
                <w:rFonts w:ascii="Open Sans" w:eastAsia="Times New Roman" w:hAnsi="Open Sans" w:cs="Open Sans"/>
                <w:b/>
                <w:bCs/>
                <w:color w:val="000000"/>
                <w:kern w:val="0"/>
                <w:sz w:val="20"/>
                <w:szCs w:val="20"/>
                <w14:ligatures w14:val="none"/>
              </w:rPr>
              <w:t>Chapter</w:t>
            </w:r>
          </w:p>
        </w:tc>
        <w:tc>
          <w:tcPr>
            <w:tcW w:w="7367" w:type="dxa"/>
            <w:tcBorders>
              <w:top w:val="single" w:sz="4" w:space="0" w:color="auto"/>
              <w:left w:val="nil"/>
              <w:bottom w:val="single" w:sz="4" w:space="0" w:color="auto"/>
              <w:right w:val="nil"/>
            </w:tcBorders>
            <w:shd w:val="clear" w:color="auto" w:fill="auto"/>
            <w:noWrap/>
            <w:vAlign w:val="bottom"/>
            <w:hideMark/>
          </w:tcPr>
          <w:p w14:paraId="029D9A2A" w14:textId="77777777" w:rsidR="005C7EC1" w:rsidRPr="000B1548" w:rsidRDefault="005C7EC1">
            <w:pPr>
              <w:spacing w:after="0" w:line="240" w:lineRule="auto"/>
              <w:ind w:left="720"/>
              <w:rPr>
                <w:rFonts w:ascii="Open Sans" w:eastAsia="Times New Roman" w:hAnsi="Open Sans" w:cs="Open Sans"/>
                <w:b/>
                <w:bCs/>
                <w:color w:val="000000"/>
                <w:kern w:val="0"/>
                <w:sz w:val="20"/>
                <w:szCs w:val="20"/>
                <w14:ligatures w14:val="none"/>
              </w:rPr>
            </w:pPr>
            <w:r w:rsidRPr="000B1548">
              <w:rPr>
                <w:rFonts w:ascii="Open Sans" w:eastAsia="Times New Roman" w:hAnsi="Open Sans" w:cs="Open Sans"/>
                <w:b/>
                <w:bCs/>
                <w:color w:val="000000"/>
                <w:kern w:val="0"/>
                <w:sz w:val="20"/>
                <w:szCs w:val="20"/>
                <w14:ligatures w14:val="none"/>
              </w:rPr>
              <w:t>Vision indicators</w:t>
            </w:r>
          </w:p>
        </w:tc>
      </w:tr>
      <w:tr w:rsidR="005C7EC1" w:rsidRPr="000B1548" w14:paraId="7DFB82B8" w14:textId="77777777" w:rsidTr="00B70A4B">
        <w:trPr>
          <w:trHeight w:val="268"/>
        </w:trPr>
        <w:tc>
          <w:tcPr>
            <w:tcW w:w="1800" w:type="dxa"/>
            <w:tcBorders>
              <w:top w:val="nil"/>
              <w:left w:val="nil"/>
              <w:bottom w:val="nil"/>
              <w:right w:val="nil"/>
            </w:tcBorders>
            <w:shd w:val="clear" w:color="auto" w:fill="auto"/>
            <w:noWrap/>
            <w:hideMark/>
          </w:tcPr>
          <w:p w14:paraId="11D146DC" w14:textId="77777777" w:rsidR="005C7EC1" w:rsidRPr="000B1548" w:rsidRDefault="005C7EC1" w:rsidP="00B70A4B">
            <w:pPr>
              <w:spacing w:after="0" w:line="240" w:lineRule="auto"/>
              <w:rPr>
                <w:rFonts w:ascii="Open Sans" w:eastAsia="Times New Roman" w:hAnsi="Open Sans" w:cs="Open Sans"/>
                <w:color w:val="000000"/>
                <w:kern w:val="0"/>
                <w:sz w:val="20"/>
                <w:szCs w:val="20"/>
                <w14:ligatures w14:val="none"/>
              </w:rPr>
            </w:pPr>
            <w:r w:rsidRPr="000B1548">
              <w:rPr>
                <w:rFonts w:ascii="Open Sans" w:eastAsia="Times New Roman" w:hAnsi="Open Sans" w:cs="Open Sans"/>
                <w:color w:val="000000"/>
                <w:kern w:val="0"/>
                <w:sz w:val="20"/>
                <w:szCs w:val="20"/>
                <w14:ligatures w14:val="none"/>
              </w:rPr>
              <w:t>1. Poverty</w:t>
            </w:r>
          </w:p>
        </w:tc>
        <w:tc>
          <w:tcPr>
            <w:tcW w:w="7367" w:type="dxa"/>
            <w:tcBorders>
              <w:top w:val="nil"/>
              <w:left w:val="nil"/>
              <w:bottom w:val="nil"/>
              <w:right w:val="nil"/>
            </w:tcBorders>
            <w:shd w:val="clear" w:color="auto" w:fill="auto"/>
            <w:noWrap/>
            <w:vAlign w:val="bottom"/>
            <w:hideMark/>
          </w:tcPr>
          <w:p w14:paraId="2498337A" w14:textId="0473EAD7" w:rsidR="005C7EC1" w:rsidRPr="001D1CEF" w:rsidRDefault="00085A45" w:rsidP="001D1CEF">
            <w:pPr>
              <w:spacing w:after="0" w:line="240" w:lineRule="auto"/>
              <w:rPr>
                <w:rFonts w:ascii="Open Sans" w:eastAsia="Times New Roman" w:hAnsi="Open Sans" w:cs="Open Sans"/>
                <w:color w:val="000000"/>
                <w:kern w:val="0"/>
                <w:sz w:val="20"/>
                <w:szCs w:val="20"/>
                <w14:ligatures w14:val="none"/>
              </w:rPr>
            </w:pPr>
            <w:r w:rsidRPr="001D1CEF">
              <w:rPr>
                <w:rFonts w:ascii="Open Sans" w:eastAsia="Times New Roman" w:hAnsi="Open Sans" w:cs="Open Sans"/>
                <w:color w:val="000000"/>
                <w:kern w:val="0"/>
                <w:sz w:val="20"/>
                <w:szCs w:val="20"/>
                <w14:ligatures w14:val="none"/>
              </w:rPr>
              <w:t>Percentage of global population living in poverty (at $2.15/day and $6.85/day)</w:t>
            </w:r>
          </w:p>
        </w:tc>
      </w:tr>
      <w:tr w:rsidR="005C7EC1" w:rsidRPr="000B1548" w14:paraId="2520B941" w14:textId="77777777" w:rsidTr="001D1CEF">
        <w:trPr>
          <w:trHeight w:val="268"/>
        </w:trPr>
        <w:tc>
          <w:tcPr>
            <w:tcW w:w="1800" w:type="dxa"/>
            <w:tcBorders>
              <w:top w:val="single" w:sz="4" w:space="0" w:color="auto"/>
              <w:left w:val="nil"/>
              <w:bottom w:val="nil"/>
              <w:right w:val="nil"/>
            </w:tcBorders>
            <w:shd w:val="clear" w:color="auto" w:fill="auto"/>
            <w:noWrap/>
            <w:vAlign w:val="bottom"/>
            <w:hideMark/>
          </w:tcPr>
          <w:p w14:paraId="34D2BDE9" w14:textId="77777777" w:rsidR="005C7EC1" w:rsidRPr="000B1548" w:rsidRDefault="005C7EC1">
            <w:pPr>
              <w:spacing w:after="0" w:line="240" w:lineRule="auto"/>
              <w:rPr>
                <w:rFonts w:ascii="Open Sans" w:eastAsia="Times New Roman" w:hAnsi="Open Sans" w:cs="Open Sans"/>
                <w:color w:val="000000"/>
                <w:kern w:val="0"/>
                <w:sz w:val="20"/>
                <w:szCs w:val="20"/>
                <w14:ligatures w14:val="none"/>
              </w:rPr>
            </w:pPr>
            <w:r w:rsidRPr="000B1548">
              <w:rPr>
                <w:rFonts w:ascii="Open Sans" w:eastAsia="Times New Roman" w:hAnsi="Open Sans" w:cs="Open Sans"/>
                <w:color w:val="000000"/>
                <w:kern w:val="0"/>
                <w:sz w:val="20"/>
                <w:szCs w:val="20"/>
                <w14:ligatures w14:val="none"/>
              </w:rPr>
              <w:t>2. Prosperity</w:t>
            </w:r>
          </w:p>
        </w:tc>
        <w:tc>
          <w:tcPr>
            <w:tcW w:w="7367" w:type="dxa"/>
            <w:tcBorders>
              <w:top w:val="single" w:sz="4" w:space="0" w:color="auto"/>
              <w:left w:val="nil"/>
              <w:bottom w:val="nil"/>
              <w:right w:val="nil"/>
            </w:tcBorders>
            <w:shd w:val="clear" w:color="auto" w:fill="auto"/>
            <w:noWrap/>
            <w:vAlign w:val="bottom"/>
            <w:hideMark/>
          </w:tcPr>
          <w:p w14:paraId="13CC713C" w14:textId="77777777" w:rsidR="005C7EC1" w:rsidRPr="001D1CEF" w:rsidRDefault="005C7EC1" w:rsidP="001D1CEF">
            <w:pPr>
              <w:spacing w:after="0" w:line="240" w:lineRule="auto"/>
              <w:rPr>
                <w:rFonts w:ascii="Open Sans" w:eastAsia="Times New Roman" w:hAnsi="Open Sans" w:cs="Open Sans"/>
                <w:color w:val="000000"/>
                <w:kern w:val="0"/>
                <w:sz w:val="20"/>
                <w:szCs w:val="20"/>
                <w14:ligatures w14:val="none"/>
              </w:rPr>
            </w:pPr>
            <w:r w:rsidRPr="001D1CEF">
              <w:rPr>
                <w:rFonts w:ascii="Open Sans" w:eastAsia="Times New Roman" w:hAnsi="Open Sans" w:cs="Open Sans"/>
                <w:color w:val="000000"/>
                <w:kern w:val="0"/>
                <w:sz w:val="20"/>
                <w:szCs w:val="20"/>
                <w14:ligatures w14:val="none"/>
              </w:rPr>
              <w:t>Global average income shortfall from a prosperity standard of $25/day</w:t>
            </w:r>
          </w:p>
        </w:tc>
      </w:tr>
      <w:tr w:rsidR="005C7EC1" w:rsidRPr="000B1548" w14:paraId="6330A588" w14:textId="77777777" w:rsidTr="001D1CEF">
        <w:trPr>
          <w:trHeight w:val="268"/>
        </w:trPr>
        <w:tc>
          <w:tcPr>
            <w:tcW w:w="1800" w:type="dxa"/>
            <w:tcBorders>
              <w:top w:val="nil"/>
              <w:left w:val="nil"/>
              <w:bottom w:val="single" w:sz="4" w:space="0" w:color="auto"/>
              <w:right w:val="nil"/>
            </w:tcBorders>
            <w:shd w:val="clear" w:color="auto" w:fill="auto"/>
            <w:noWrap/>
            <w:vAlign w:val="bottom"/>
            <w:hideMark/>
          </w:tcPr>
          <w:p w14:paraId="736FBDC3" w14:textId="77777777" w:rsidR="005C7EC1" w:rsidRPr="000B1548" w:rsidRDefault="005C7EC1">
            <w:pPr>
              <w:spacing w:after="0" w:line="240" w:lineRule="auto"/>
              <w:rPr>
                <w:rFonts w:ascii="Open Sans" w:eastAsia="Times New Roman" w:hAnsi="Open Sans" w:cs="Open Sans"/>
                <w:color w:val="000000"/>
                <w:kern w:val="0"/>
                <w:sz w:val="20"/>
                <w:szCs w:val="20"/>
                <w14:ligatures w14:val="none"/>
              </w:rPr>
            </w:pPr>
            <w:r w:rsidRPr="000B1548">
              <w:rPr>
                <w:rFonts w:ascii="Open Sans" w:eastAsia="Times New Roman" w:hAnsi="Open Sans" w:cs="Open Sans"/>
                <w:color w:val="000000"/>
                <w:kern w:val="0"/>
                <w:sz w:val="20"/>
                <w:szCs w:val="20"/>
                <w14:ligatures w14:val="none"/>
              </w:rPr>
              <w:t> </w:t>
            </w:r>
          </w:p>
        </w:tc>
        <w:tc>
          <w:tcPr>
            <w:tcW w:w="7367" w:type="dxa"/>
            <w:tcBorders>
              <w:top w:val="nil"/>
              <w:left w:val="nil"/>
              <w:bottom w:val="single" w:sz="4" w:space="0" w:color="auto"/>
              <w:right w:val="nil"/>
            </w:tcBorders>
            <w:shd w:val="clear" w:color="auto" w:fill="auto"/>
            <w:noWrap/>
            <w:vAlign w:val="bottom"/>
            <w:hideMark/>
          </w:tcPr>
          <w:p w14:paraId="20CFE92A" w14:textId="77777777" w:rsidR="005C7EC1" w:rsidRPr="001D1CEF" w:rsidRDefault="005C7EC1" w:rsidP="001D1CEF">
            <w:pPr>
              <w:spacing w:after="0" w:line="240" w:lineRule="auto"/>
              <w:rPr>
                <w:rFonts w:ascii="Open Sans" w:eastAsia="Times New Roman" w:hAnsi="Open Sans" w:cs="Open Sans"/>
                <w:color w:val="000000"/>
                <w:kern w:val="0"/>
                <w:sz w:val="20"/>
                <w:szCs w:val="20"/>
                <w14:ligatures w14:val="none"/>
              </w:rPr>
            </w:pPr>
            <w:r w:rsidRPr="001D1CEF">
              <w:rPr>
                <w:rFonts w:ascii="Open Sans" w:eastAsia="Times New Roman" w:hAnsi="Open Sans" w:cs="Open Sans"/>
                <w:color w:val="000000"/>
                <w:kern w:val="0"/>
                <w:sz w:val="20"/>
                <w:szCs w:val="20"/>
                <w14:ligatures w14:val="none"/>
              </w:rPr>
              <w:t>Number of countries with high inequality</w:t>
            </w:r>
          </w:p>
        </w:tc>
      </w:tr>
      <w:tr w:rsidR="005C7EC1" w:rsidRPr="000B1548" w14:paraId="5926D323" w14:textId="77777777" w:rsidTr="001D1CEF">
        <w:trPr>
          <w:trHeight w:val="268"/>
        </w:trPr>
        <w:tc>
          <w:tcPr>
            <w:tcW w:w="1800" w:type="dxa"/>
            <w:tcBorders>
              <w:top w:val="nil"/>
              <w:left w:val="nil"/>
              <w:bottom w:val="nil"/>
              <w:right w:val="nil"/>
            </w:tcBorders>
            <w:shd w:val="clear" w:color="auto" w:fill="auto"/>
            <w:noWrap/>
            <w:vAlign w:val="bottom"/>
            <w:hideMark/>
          </w:tcPr>
          <w:p w14:paraId="5C4B31DD" w14:textId="1C5AEC38" w:rsidR="005C7EC1" w:rsidRPr="000B1548" w:rsidRDefault="005C7EC1">
            <w:pPr>
              <w:spacing w:after="0" w:line="240" w:lineRule="auto"/>
              <w:rPr>
                <w:rFonts w:ascii="Open Sans" w:eastAsia="Times New Roman" w:hAnsi="Open Sans" w:cs="Open Sans"/>
                <w:color w:val="000000"/>
                <w:kern w:val="0"/>
                <w:sz w:val="20"/>
                <w:szCs w:val="20"/>
                <w14:ligatures w14:val="none"/>
              </w:rPr>
            </w:pPr>
            <w:r w:rsidRPr="000B1548">
              <w:rPr>
                <w:rFonts w:ascii="Open Sans" w:eastAsia="Times New Roman" w:hAnsi="Open Sans" w:cs="Open Sans"/>
                <w:color w:val="000000"/>
                <w:kern w:val="0"/>
                <w:sz w:val="20"/>
                <w:szCs w:val="20"/>
                <w14:ligatures w14:val="none"/>
              </w:rPr>
              <w:t xml:space="preserve">3. </w:t>
            </w:r>
            <w:r w:rsidR="00DD5C74" w:rsidRPr="001F3E92">
              <w:rPr>
                <w:rFonts w:ascii="Open Sans" w:eastAsia="Times New Roman" w:hAnsi="Open Sans" w:cs="Open Sans"/>
                <w:color w:val="000000"/>
                <w:kern w:val="0"/>
                <w:sz w:val="20"/>
                <w:szCs w:val="20"/>
                <w14:ligatures w14:val="none"/>
              </w:rPr>
              <w:t xml:space="preserve">Livable </w:t>
            </w:r>
            <w:r w:rsidRPr="000B1548">
              <w:rPr>
                <w:rFonts w:ascii="Open Sans" w:eastAsia="Times New Roman" w:hAnsi="Open Sans" w:cs="Open Sans"/>
                <w:color w:val="000000"/>
                <w:kern w:val="0"/>
                <w:sz w:val="20"/>
                <w:szCs w:val="20"/>
                <w14:ligatures w14:val="none"/>
              </w:rPr>
              <w:t>Planet</w:t>
            </w:r>
          </w:p>
        </w:tc>
        <w:tc>
          <w:tcPr>
            <w:tcW w:w="7367" w:type="dxa"/>
            <w:tcBorders>
              <w:top w:val="nil"/>
              <w:left w:val="nil"/>
              <w:bottom w:val="nil"/>
              <w:right w:val="nil"/>
            </w:tcBorders>
            <w:shd w:val="clear" w:color="auto" w:fill="auto"/>
            <w:noWrap/>
            <w:vAlign w:val="bottom"/>
            <w:hideMark/>
          </w:tcPr>
          <w:p w14:paraId="4BC4D4DC" w14:textId="77777777" w:rsidR="005C7EC1" w:rsidRPr="001D1CEF" w:rsidRDefault="005C7EC1" w:rsidP="001D1CEF">
            <w:pPr>
              <w:spacing w:after="0" w:line="240" w:lineRule="auto"/>
              <w:rPr>
                <w:rFonts w:ascii="Open Sans" w:eastAsia="Times New Roman" w:hAnsi="Open Sans" w:cs="Open Sans"/>
                <w:color w:val="000000"/>
                <w:kern w:val="0"/>
                <w:sz w:val="20"/>
                <w:szCs w:val="20"/>
                <w14:ligatures w14:val="none"/>
              </w:rPr>
            </w:pPr>
            <w:r w:rsidRPr="001D1CEF">
              <w:rPr>
                <w:rFonts w:ascii="Open Sans" w:eastAsia="Times New Roman" w:hAnsi="Open Sans" w:cs="Open Sans"/>
                <w:color w:val="000000"/>
                <w:kern w:val="0"/>
                <w:sz w:val="20"/>
                <w:szCs w:val="20"/>
                <w14:ligatures w14:val="none"/>
              </w:rPr>
              <w:t>Global greenhouse gas emissions (gigatons of CO</w:t>
            </w:r>
            <w:r w:rsidRPr="001D1CEF">
              <w:rPr>
                <w:rFonts w:ascii="Open Sans" w:eastAsia="Times New Roman" w:hAnsi="Open Sans" w:cs="Open Sans"/>
                <w:color w:val="000000"/>
                <w:kern w:val="0"/>
                <w:sz w:val="20"/>
                <w:szCs w:val="20"/>
                <w:vertAlign w:val="subscript"/>
                <w14:ligatures w14:val="none"/>
              </w:rPr>
              <w:t>2</w:t>
            </w:r>
            <w:r w:rsidRPr="001D1CEF">
              <w:rPr>
                <w:rFonts w:ascii="Open Sans" w:eastAsia="Times New Roman" w:hAnsi="Open Sans" w:cs="Open Sans"/>
                <w:color w:val="000000"/>
                <w:kern w:val="0"/>
                <w:sz w:val="20"/>
                <w:szCs w:val="20"/>
                <w14:ligatures w14:val="none"/>
              </w:rPr>
              <w:t xml:space="preserve"> equivalent)</w:t>
            </w:r>
          </w:p>
        </w:tc>
      </w:tr>
      <w:tr w:rsidR="005C7EC1" w:rsidRPr="000B1548" w14:paraId="4B39C950" w14:textId="77777777" w:rsidTr="001D1CEF">
        <w:trPr>
          <w:trHeight w:val="268"/>
        </w:trPr>
        <w:tc>
          <w:tcPr>
            <w:tcW w:w="1800" w:type="dxa"/>
            <w:tcBorders>
              <w:top w:val="nil"/>
              <w:left w:val="nil"/>
              <w:bottom w:val="nil"/>
              <w:right w:val="nil"/>
            </w:tcBorders>
            <w:shd w:val="clear" w:color="auto" w:fill="auto"/>
            <w:noWrap/>
            <w:vAlign w:val="bottom"/>
            <w:hideMark/>
          </w:tcPr>
          <w:p w14:paraId="417ED00A" w14:textId="77777777" w:rsidR="005C7EC1" w:rsidRPr="000B1548" w:rsidRDefault="005C7EC1">
            <w:pPr>
              <w:spacing w:after="0" w:line="240" w:lineRule="auto"/>
              <w:rPr>
                <w:rFonts w:ascii="Open Sans" w:eastAsia="Times New Roman" w:hAnsi="Open Sans" w:cs="Open Sans"/>
                <w:color w:val="000000"/>
                <w:kern w:val="0"/>
                <w:sz w:val="20"/>
                <w:szCs w:val="20"/>
                <w14:ligatures w14:val="none"/>
              </w:rPr>
            </w:pPr>
          </w:p>
        </w:tc>
        <w:tc>
          <w:tcPr>
            <w:tcW w:w="7367" w:type="dxa"/>
            <w:tcBorders>
              <w:top w:val="nil"/>
              <w:left w:val="nil"/>
              <w:bottom w:val="nil"/>
              <w:right w:val="nil"/>
            </w:tcBorders>
            <w:shd w:val="clear" w:color="auto" w:fill="auto"/>
            <w:noWrap/>
            <w:vAlign w:val="bottom"/>
            <w:hideMark/>
          </w:tcPr>
          <w:p w14:paraId="38FFDFCF" w14:textId="77777777" w:rsidR="005C7EC1" w:rsidRPr="001D1CEF" w:rsidRDefault="005C7EC1" w:rsidP="001D1CEF">
            <w:pPr>
              <w:spacing w:after="0" w:line="240" w:lineRule="auto"/>
              <w:rPr>
                <w:rFonts w:ascii="Open Sans" w:eastAsia="Times New Roman" w:hAnsi="Open Sans" w:cs="Open Sans"/>
                <w:color w:val="000000"/>
                <w:kern w:val="0"/>
                <w:sz w:val="20"/>
                <w:szCs w:val="20"/>
                <w14:ligatures w14:val="none"/>
              </w:rPr>
            </w:pPr>
            <w:r w:rsidRPr="001D1CEF">
              <w:rPr>
                <w:rFonts w:ascii="Open Sans" w:eastAsia="Times New Roman" w:hAnsi="Open Sans" w:cs="Open Sans"/>
                <w:color w:val="000000"/>
                <w:kern w:val="0"/>
                <w:sz w:val="20"/>
                <w:szCs w:val="20"/>
                <w14:ligatures w14:val="none"/>
              </w:rPr>
              <w:t>Percentage of people at high risk from climate-related hazards globally</w:t>
            </w:r>
          </w:p>
        </w:tc>
      </w:tr>
      <w:tr w:rsidR="005C7EC1" w:rsidRPr="000B1548" w14:paraId="0CC512E3" w14:textId="77777777" w:rsidTr="001D1CEF">
        <w:trPr>
          <w:trHeight w:val="268"/>
        </w:trPr>
        <w:tc>
          <w:tcPr>
            <w:tcW w:w="1800" w:type="dxa"/>
            <w:tcBorders>
              <w:top w:val="nil"/>
              <w:left w:val="nil"/>
              <w:bottom w:val="nil"/>
              <w:right w:val="nil"/>
            </w:tcBorders>
            <w:shd w:val="clear" w:color="auto" w:fill="auto"/>
            <w:noWrap/>
            <w:vAlign w:val="bottom"/>
            <w:hideMark/>
          </w:tcPr>
          <w:p w14:paraId="02ECD5FC" w14:textId="77777777" w:rsidR="005C7EC1" w:rsidRPr="000B1548" w:rsidRDefault="005C7EC1">
            <w:pPr>
              <w:spacing w:after="0" w:line="240" w:lineRule="auto"/>
              <w:rPr>
                <w:rFonts w:ascii="Open Sans" w:eastAsia="Times New Roman" w:hAnsi="Open Sans" w:cs="Open Sans"/>
                <w:color w:val="000000"/>
                <w:kern w:val="0"/>
                <w:sz w:val="20"/>
                <w:szCs w:val="20"/>
                <w14:ligatures w14:val="none"/>
              </w:rPr>
            </w:pPr>
          </w:p>
        </w:tc>
        <w:tc>
          <w:tcPr>
            <w:tcW w:w="7367" w:type="dxa"/>
            <w:tcBorders>
              <w:top w:val="nil"/>
              <w:left w:val="nil"/>
              <w:bottom w:val="nil"/>
              <w:right w:val="nil"/>
            </w:tcBorders>
            <w:shd w:val="clear" w:color="auto" w:fill="auto"/>
            <w:noWrap/>
            <w:vAlign w:val="bottom"/>
            <w:hideMark/>
          </w:tcPr>
          <w:p w14:paraId="52D9E8CE" w14:textId="4D5C21A5" w:rsidR="005C7EC1" w:rsidRPr="001D1CEF" w:rsidRDefault="005C7EC1" w:rsidP="001D1CEF">
            <w:pPr>
              <w:spacing w:after="0" w:line="240" w:lineRule="auto"/>
              <w:rPr>
                <w:rFonts w:ascii="Open Sans" w:eastAsia="Times New Roman" w:hAnsi="Open Sans" w:cs="Open Sans"/>
                <w:color w:val="000000"/>
                <w:kern w:val="0"/>
                <w:sz w:val="20"/>
                <w:szCs w:val="20"/>
                <w14:ligatures w14:val="none"/>
              </w:rPr>
            </w:pPr>
            <w:r w:rsidRPr="001D1CEF">
              <w:rPr>
                <w:rFonts w:ascii="Open Sans" w:eastAsia="Times New Roman" w:hAnsi="Open Sans" w:cs="Open Sans"/>
                <w:color w:val="000000"/>
                <w:kern w:val="0"/>
                <w:sz w:val="20"/>
                <w:szCs w:val="20"/>
                <w14:ligatures w14:val="none"/>
              </w:rPr>
              <w:t>Millions of hectares of key ecosystems globally</w:t>
            </w:r>
          </w:p>
        </w:tc>
      </w:tr>
      <w:tr w:rsidR="005C7EC1" w:rsidRPr="000B1548" w14:paraId="090584C3" w14:textId="77777777" w:rsidTr="001D1CEF">
        <w:trPr>
          <w:trHeight w:val="268"/>
        </w:trPr>
        <w:tc>
          <w:tcPr>
            <w:tcW w:w="1800" w:type="dxa"/>
            <w:tcBorders>
              <w:top w:val="nil"/>
              <w:left w:val="nil"/>
              <w:bottom w:val="nil"/>
              <w:right w:val="nil"/>
            </w:tcBorders>
            <w:shd w:val="clear" w:color="auto" w:fill="auto"/>
            <w:noWrap/>
            <w:vAlign w:val="bottom"/>
            <w:hideMark/>
          </w:tcPr>
          <w:p w14:paraId="7F725618" w14:textId="77777777" w:rsidR="005C7EC1" w:rsidRPr="000B1548" w:rsidRDefault="005C7EC1">
            <w:pPr>
              <w:spacing w:after="0" w:line="240" w:lineRule="auto"/>
              <w:rPr>
                <w:rFonts w:ascii="Open Sans" w:eastAsia="Times New Roman" w:hAnsi="Open Sans" w:cs="Open Sans"/>
                <w:color w:val="000000"/>
                <w:kern w:val="0"/>
                <w:sz w:val="20"/>
                <w:szCs w:val="20"/>
                <w14:ligatures w14:val="none"/>
              </w:rPr>
            </w:pPr>
          </w:p>
        </w:tc>
        <w:tc>
          <w:tcPr>
            <w:tcW w:w="7367" w:type="dxa"/>
            <w:tcBorders>
              <w:top w:val="nil"/>
              <w:left w:val="nil"/>
              <w:bottom w:val="nil"/>
              <w:right w:val="nil"/>
            </w:tcBorders>
            <w:shd w:val="clear" w:color="auto" w:fill="auto"/>
            <w:noWrap/>
            <w:vAlign w:val="bottom"/>
            <w:hideMark/>
          </w:tcPr>
          <w:p w14:paraId="605DC96F" w14:textId="77777777" w:rsidR="005C7EC1" w:rsidRPr="001D1CEF" w:rsidRDefault="005C7EC1" w:rsidP="001D1CEF">
            <w:pPr>
              <w:spacing w:after="0" w:line="240" w:lineRule="auto"/>
              <w:rPr>
                <w:rFonts w:ascii="Open Sans" w:eastAsia="Times New Roman" w:hAnsi="Open Sans" w:cs="Open Sans"/>
                <w:color w:val="000000"/>
                <w:kern w:val="0"/>
                <w:sz w:val="20"/>
                <w:szCs w:val="20"/>
                <w14:ligatures w14:val="none"/>
              </w:rPr>
            </w:pPr>
            <w:r w:rsidRPr="001D1CEF">
              <w:rPr>
                <w:rFonts w:ascii="Open Sans" w:eastAsia="Times New Roman" w:hAnsi="Open Sans" w:cs="Open Sans"/>
                <w:color w:val="000000"/>
                <w:kern w:val="0"/>
                <w:sz w:val="20"/>
                <w:szCs w:val="20"/>
                <w14:ligatures w14:val="none"/>
              </w:rPr>
              <w:t>Percentage of people facing food and nutrition insecurity globally</w:t>
            </w:r>
          </w:p>
        </w:tc>
      </w:tr>
      <w:tr w:rsidR="005C7EC1" w:rsidRPr="000B1548" w14:paraId="5C1E9B27" w14:textId="77777777" w:rsidTr="001D1CEF">
        <w:trPr>
          <w:trHeight w:val="49"/>
        </w:trPr>
        <w:tc>
          <w:tcPr>
            <w:tcW w:w="1800" w:type="dxa"/>
            <w:tcBorders>
              <w:top w:val="nil"/>
              <w:left w:val="nil"/>
              <w:bottom w:val="single" w:sz="4" w:space="0" w:color="auto"/>
              <w:right w:val="nil"/>
            </w:tcBorders>
            <w:shd w:val="clear" w:color="auto" w:fill="auto"/>
            <w:noWrap/>
            <w:vAlign w:val="bottom"/>
            <w:hideMark/>
          </w:tcPr>
          <w:p w14:paraId="33C2F3B9" w14:textId="77777777" w:rsidR="005C7EC1" w:rsidRPr="000B1548" w:rsidRDefault="005C7EC1">
            <w:pPr>
              <w:spacing w:after="0" w:line="240" w:lineRule="auto"/>
              <w:rPr>
                <w:rFonts w:ascii="Open Sans" w:eastAsia="Times New Roman" w:hAnsi="Open Sans" w:cs="Open Sans"/>
                <w:color w:val="000000"/>
                <w:kern w:val="0"/>
                <w:sz w:val="20"/>
                <w:szCs w:val="20"/>
                <w14:ligatures w14:val="none"/>
              </w:rPr>
            </w:pPr>
            <w:r w:rsidRPr="000B1548">
              <w:rPr>
                <w:rFonts w:ascii="Open Sans" w:eastAsia="Times New Roman" w:hAnsi="Open Sans" w:cs="Open Sans"/>
                <w:color w:val="000000"/>
                <w:kern w:val="0"/>
                <w:sz w:val="20"/>
                <w:szCs w:val="20"/>
                <w14:ligatures w14:val="none"/>
              </w:rPr>
              <w:t> </w:t>
            </w:r>
          </w:p>
        </w:tc>
        <w:tc>
          <w:tcPr>
            <w:tcW w:w="7367" w:type="dxa"/>
            <w:tcBorders>
              <w:top w:val="nil"/>
              <w:left w:val="nil"/>
              <w:bottom w:val="single" w:sz="4" w:space="0" w:color="auto"/>
              <w:right w:val="nil"/>
            </w:tcBorders>
            <w:shd w:val="clear" w:color="auto" w:fill="auto"/>
            <w:vAlign w:val="bottom"/>
            <w:hideMark/>
          </w:tcPr>
          <w:p w14:paraId="590CD39A" w14:textId="77777777" w:rsidR="005C7EC1" w:rsidRPr="001D1CEF" w:rsidRDefault="005C7EC1" w:rsidP="001D1CEF">
            <w:pPr>
              <w:spacing w:after="0" w:line="240" w:lineRule="auto"/>
              <w:rPr>
                <w:rFonts w:ascii="Open Sans" w:eastAsia="Times New Roman" w:hAnsi="Open Sans" w:cs="Open Sans"/>
                <w:color w:val="000000"/>
                <w:kern w:val="0"/>
                <w:sz w:val="20"/>
                <w:szCs w:val="20"/>
                <w14:ligatures w14:val="none"/>
              </w:rPr>
            </w:pPr>
            <w:r w:rsidRPr="001D1CEF">
              <w:rPr>
                <w:rFonts w:ascii="Open Sans" w:eastAsia="Times New Roman" w:hAnsi="Open Sans" w:cs="Open Sans"/>
                <w:color w:val="000000"/>
                <w:kern w:val="0"/>
                <w:sz w:val="20"/>
                <w:szCs w:val="20"/>
                <w14:ligatures w14:val="none"/>
              </w:rPr>
              <w:t>Percentage of people with access to basic drinking water, sanitation services, or hygiene globally</w:t>
            </w:r>
          </w:p>
        </w:tc>
      </w:tr>
    </w:tbl>
    <w:p w14:paraId="1D3309B3" w14:textId="23ECEEE0" w:rsidR="005C7EC1" w:rsidRPr="00EF61A6" w:rsidRDefault="005C7EC1" w:rsidP="00077757">
      <w:pPr>
        <w:spacing w:line="240" w:lineRule="auto"/>
        <w:rPr>
          <w:rFonts w:ascii="Open Sans" w:hAnsi="Open Sans" w:cs="Open Sans"/>
          <w:sz w:val="18"/>
          <w:szCs w:val="18"/>
        </w:rPr>
      </w:pPr>
      <w:r w:rsidRPr="00EF61A6">
        <w:rPr>
          <w:rFonts w:ascii="Open Sans" w:hAnsi="Open Sans" w:cs="Open Sans"/>
          <w:sz w:val="18"/>
          <w:szCs w:val="18"/>
        </w:rPr>
        <w:t xml:space="preserve">Source: World Bank </w:t>
      </w:r>
      <w:r>
        <w:rPr>
          <w:rFonts w:ascii="Open Sans" w:hAnsi="Open Sans" w:cs="Open Sans"/>
          <w:sz w:val="18"/>
          <w:szCs w:val="18"/>
        </w:rPr>
        <w:fldChar w:fldCharType="begin"/>
      </w:r>
      <w:r w:rsidR="00930395">
        <w:rPr>
          <w:rFonts w:ascii="Open Sans" w:hAnsi="Open Sans" w:cs="Open Sans"/>
          <w:sz w:val="18"/>
          <w:szCs w:val="18"/>
        </w:rPr>
        <w:instrText xml:space="preserve"> ADDIN ZOTERO_ITEM CSL_CITATION {"citationID":"RoTO8PYH","properties":{"formattedCitation":"(World Bank, 2024a)","plainCitation":"(World Bank, 2024a)","noteIndex":0},"citationItems":[{"id":1086,"uris":["http://zotero.org/groups/5125234/items/WQCEX7AM"],"itemData":{"id":1086,"type":"document","publisher":"World Bank","title":"New World Bank Group Scorecard FY24-FY30 : Driving Action, Measuring Results","URL":"https://documentsinternal.worldbank.org/search/34213739","author":[{"literal":"World Bank"}],"accessed":{"date-parts":[["2024",2,7]]},"issued":{"date-parts":[["2024"]]}}}],"schema":"https://github.com/citation-style-language/schema/raw/master/csl-citation.json"} </w:instrText>
      </w:r>
      <w:r>
        <w:rPr>
          <w:rFonts w:ascii="Open Sans" w:hAnsi="Open Sans" w:cs="Open Sans"/>
          <w:sz w:val="18"/>
          <w:szCs w:val="18"/>
        </w:rPr>
        <w:fldChar w:fldCharType="separate"/>
      </w:r>
      <w:r w:rsidRPr="00AC5D51">
        <w:rPr>
          <w:rFonts w:ascii="Open Sans" w:hAnsi="Open Sans" w:cs="Open Sans"/>
          <w:sz w:val="18"/>
        </w:rPr>
        <w:t>(World Bank, 2024a)</w:t>
      </w:r>
      <w:r>
        <w:rPr>
          <w:rFonts w:ascii="Open Sans" w:hAnsi="Open Sans" w:cs="Open Sans"/>
          <w:sz w:val="18"/>
          <w:szCs w:val="18"/>
        </w:rPr>
        <w:fldChar w:fldCharType="end"/>
      </w:r>
    </w:p>
    <w:p w14:paraId="72C16473" w14:textId="77777777" w:rsidR="000B45B6" w:rsidRDefault="000B45B6" w:rsidP="001F3E92">
      <w:pPr>
        <w:spacing w:line="240" w:lineRule="auto"/>
        <w:jc w:val="both"/>
        <w:rPr>
          <w:rFonts w:ascii="Open Sans" w:hAnsi="Open Sans" w:cs="Open Sans"/>
          <w:sz w:val="20"/>
          <w:szCs w:val="20"/>
        </w:rPr>
      </w:pPr>
    </w:p>
    <w:p w14:paraId="63962CF4" w14:textId="2D4144E0" w:rsidR="00894C42" w:rsidRPr="00845917" w:rsidRDefault="00D6556C" w:rsidP="00845917">
      <w:pPr>
        <w:pStyle w:val="Heading1"/>
        <w:spacing w:after="120" w:line="240" w:lineRule="auto"/>
        <w:ind w:left="432" w:hanging="432"/>
        <w:jc w:val="both"/>
        <w:rPr>
          <w:rFonts w:ascii="Open Sans" w:hAnsi="Open Sans"/>
          <w:b/>
          <w:sz w:val="20"/>
        </w:rPr>
      </w:pPr>
      <w:r w:rsidRPr="00845917">
        <w:rPr>
          <w:rFonts w:ascii="Open Sans" w:hAnsi="Open Sans"/>
          <w:b/>
          <w:sz w:val="20"/>
        </w:rPr>
        <w:t>Data sources</w:t>
      </w:r>
      <w:r w:rsidR="00E436D6">
        <w:rPr>
          <w:rFonts w:ascii="Open Sans" w:hAnsi="Open Sans"/>
          <w:b/>
          <w:bCs/>
          <w:sz w:val="20"/>
        </w:rPr>
        <w:t xml:space="preserve">, </w:t>
      </w:r>
      <w:r w:rsidRPr="00845917">
        <w:rPr>
          <w:rFonts w:ascii="Open Sans" w:hAnsi="Open Sans"/>
          <w:b/>
          <w:sz w:val="20"/>
        </w:rPr>
        <w:t>some challenges</w:t>
      </w:r>
      <w:r w:rsidR="00E436D6">
        <w:rPr>
          <w:rFonts w:ascii="Open Sans" w:hAnsi="Open Sans"/>
          <w:b/>
          <w:bCs/>
          <w:sz w:val="20"/>
        </w:rPr>
        <w:t xml:space="preserve"> and ongoing work</w:t>
      </w:r>
    </w:p>
    <w:p w14:paraId="73073E80" w14:textId="77777777" w:rsidR="00D6556C" w:rsidRDefault="00D6556C" w:rsidP="00B72C28">
      <w:pPr>
        <w:spacing w:line="240" w:lineRule="auto"/>
        <w:jc w:val="both"/>
        <w:rPr>
          <w:rFonts w:ascii="Open Sans" w:hAnsi="Open Sans" w:cs="Open Sans"/>
          <w:sz w:val="20"/>
          <w:szCs w:val="20"/>
        </w:rPr>
      </w:pPr>
    </w:p>
    <w:p w14:paraId="2766972B" w14:textId="05644712" w:rsidR="00F2562F" w:rsidRDefault="00B72C28" w:rsidP="00B72C28">
      <w:pPr>
        <w:spacing w:line="240" w:lineRule="auto"/>
        <w:jc w:val="both"/>
        <w:rPr>
          <w:rFonts w:ascii="Open Sans" w:hAnsi="Open Sans" w:cs="Open Sans"/>
          <w:sz w:val="20"/>
          <w:szCs w:val="20"/>
        </w:rPr>
      </w:pPr>
      <w:r w:rsidRPr="001F3E92">
        <w:rPr>
          <w:rFonts w:ascii="Open Sans" w:hAnsi="Open Sans" w:cs="Open Sans"/>
          <w:sz w:val="20"/>
          <w:szCs w:val="20"/>
        </w:rPr>
        <w:t>Data underpins the development process. Without it, understanding the living conditions of people is impossible. Policymakers aiming to alleviate poverty, build resilience, and promote sustainable well-</w:t>
      </w:r>
      <w:r w:rsidRPr="001F3E92">
        <w:rPr>
          <w:rFonts w:ascii="Open Sans" w:hAnsi="Open Sans" w:cs="Open Sans"/>
          <w:sz w:val="20"/>
          <w:szCs w:val="20"/>
        </w:rPr>
        <w:lastRenderedPageBreak/>
        <w:t xml:space="preserve">being need accurate data to make informed decisions. </w:t>
      </w:r>
      <w:r w:rsidR="00793B8C" w:rsidRPr="001F3E92">
        <w:rPr>
          <w:rFonts w:ascii="Open Sans" w:hAnsi="Open Sans" w:cs="Open Sans"/>
          <w:sz w:val="20"/>
          <w:szCs w:val="20"/>
        </w:rPr>
        <w:t xml:space="preserve">Better data is </w:t>
      </w:r>
      <w:r w:rsidR="00C81E52">
        <w:rPr>
          <w:rFonts w:ascii="Open Sans" w:hAnsi="Open Sans" w:cs="Open Sans"/>
          <w:sz w:val="20"/>
          <w:szCs w:val="20"/>
        </w:rPr>
        <w:t xml:space="preserve">also </w:t>
      </w:r>
      <w:r w:rsidR="00793B8C" w:rsidRPr="001F3E92">
        <w:rPr>
          <w:rFonts w:ascii="Open Sans" w:hAnsi="Open Sans" w:cs="Open Sans"/>
          <w:sz w:val="20"/>
          <w:szCs w:val="20"/>
        </w:rPr>
        <w:t>key to understand and manage the trade-offs associated with climate policies.</w:t>
      </w:r>
      <w:r w:rsidR="00C81E52">
        <w:rPr>
          <w:rFonts w:ascii="Open Sans" w:hAnsi="Open Sans" w:cs="Open Sans"/>
          <w:sz w:val="20"/>
          <w:szCs w:val="20"/>
        </w:rPr>
        <w:t xml:space="preserve"> </w:t>
      </w:r>
    </w:p>
    <w:p w14:paraId="44D2D7EC" w14:textId="350F19F9" w:rsidR="00B72C28" w:rsidRDefault="00B72C28" w:rsidP="00B72C28">
      <w:pPr>
        <w:spacing w:line="240" w:lineRule="auto"/>
        <w:jc w:val="both"/>
        <w:rPr>
          <w:rFonts w:ascii="Open Sans" w:hAnsi="Open Sans" w:cs="Open Sans"/>
          <w:sz w:val="20"/>
          <w:szCs w:val="20"/>
        </w:rPr>
      </w:pPr>
      <w:r>
        <w:rPr>
          <w:rFonts w:ascii="Open Sans" w:hAnsi="Open Sans" w:cs="Open Sans"/>
          <w:sz w:val="20"/>
          <w:szCs w:val="20"/>
        </w:rPr>
        <w:t xml:space="preserve">The value of data to facilitate development and ensure no one is left behind, as encapsulated in the Sustainable Development Goals (SDGs), can be enhanced if data is reliable, timely, and can be disaggregated by </w:t>
      </w:r>
      <w:r w:rsidRPr="001F3E92">
        <w:rPr>
          <w:rFonts w:ascii="Open Sans" w:hAnsi="Open Sans" w:cs="Open Sans"/>
          <w:sz w:val="20"/>
          <w:szCs w:val="20"/>
        </w:rPr>
        <w:t xml:space="preserve">key </w:t>
      </w:r>
      <w:r>
        <w:rPr>
          <w:rFonts w:ascii="Open Sans" w:hAnsi="Open Sans" w:cs="Open Sans"/>
          <w:sz w:val="20"/>
          <w:szCs w:val="20"/>
        </w:rPr>
        <w:t xml:space="preserve">demographic characteristics. Data does not only help governments in service delivery, preparing for and responding to emergencies, and prioritizing marginalized, underserved population subgroups, but it provides the populace with the information they need to hold governments accountable, and make better political decisions, for example during elections </w:t>
      </w:r>
      <w:r>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{"citationID":"ODQDjnYZ","properties":{"formattedCitation":"(Jolliffe et al., 2023; World Bank, 2021, 2015)","plainCitation":"(Jolliffe et al., 2023; World Bank, 2021, 2015)","noteIndex":0},"citationItems":[{"id":1622,"uris":["http://zotero.org/groups/5125234/items/8XBQ5CHH"],"itemData":{"id":1622,"type":"article-journal","container-title":"The World Bank Research Observer","DOI":"https://doi.org/10.1093/wbro/lkad004","issue":"2","title":"What Makes Public Sector Data Valuable for Development?","URL":"https://academic.oup.com/wbro/article/38/2/325/7118955?login=true","volume":"38","author":[{"family":"Jolliffe","given":"Dean"},{"family":"Mahler","given":"Daniel Gerszon"},{"family":"Veerappan","given":"Malarvizhi"},{"family":"Kilic","given":"Talip"},{"family":"Wollburg","given":"Philip"}],"accessed":{"date-parts":[["2024",6,5]]},"issued":{"date-parts":[["2023"]]}}},{"id":1621,"uris":["http://zotero.org/groups/5125234/items/FK9AFLST"],"itemData":{"id":1621,"type":"report","publisher":"World Bank","title":"World Development Report 2021: Data for better lives","URL":"https://www.worldbank.org/en/publication/wdr2021","author":[{"literal":"World Bank"}],"accessed":{"date-parts":[["2024",6,5]]},"issued":{"date-parts":[["2021"]]}}},{"id":1655,"uris":["http://zotero.org/groups/5125234/items/Y5SQSFK6"],"itemData":{"id":1655,"type":"webpage","abstract":"The World Bank pledges to work with developing countries and international partners to ensure that the 78 poorest nations have household-level surveys every three years to address huge gaps in the collection of poverty data.","container-title":"World Bank","language":"en","note":"DOI: 10/15/world-bank-new-end-poverty-tool-surveys-in-poorest-countries","title":"World Bank’s New End-Poverty Tool: Surveys in Poorest Countries","title-short":"World Bank’s New End-Poverty Tool","URL":"https://www.worldbank.org/en/news/press-release/2015/10/15/world-bank-new-end-poverty-tool-surveys-in-poorest-countries","author":[{"literal":"World Bank"}],"accessed":{"date-parts":[["2024",6,7]]},"issued":{"date-parts":[["2015"]]}}}],"schema":"https://github.com/citation-style-language/schema/raw/master/csl-citation.json"} </w:instrText>
      </w:r>
      <w:r>
        <w:rPr>
          <w:rFonts w:ascii="Open Sans" w:hAnsi="Open Sans" w:cs="Open Sans"/>
          <w:sz w:val="20"/>
          <w:szCs w:val="20"/>
        </w:rPr>
        <w:fldChar w:fldCharType="separate"/>
      </w:r>
      <w:r w:rsidRPr="00242CD9">
        <w:rPr>
          <w:rFonts w:ascii="Open Sans" w:hAnsi="Open Sans" w:cs="Open Sans"/>
          <w:sz w:val="20"/>
        </w:rPr>
        <w:t>(Jolliffe et al., 2023; World Bank, 2021, 2015)</w:t>
      </w:r>
      <w:r>
        <w:rPr>
          <w:rFonts w:ascii="Open Sans" w:hAnsi="Open Sans" w:cs="Open Sans"/>
          <w:sz w:val="20"/>
          <w:szCs w:val="20"/>
        </w:rPr>
        <w:fldChar w:fldCharType="end"/>
      </w:r>
      <w:r>
        <w:rPr>
          <w:rFonts w:ascii="Open Sans" w:hAnsi="Open Sans" w:cs="Open Sans"/>
          <w:sz w:val="20"/>
          <w:szCs w:val="20"/>
        </w:rPr>
        <w:t>.</w:t>
      </w:r>
      <w:r w:rsidRPr="001F3E92">
        <w:rPr>
          <w:rFonts w:ascii="Open Sans" w:hAnsi="Open Sans" w:cs="Open Sans"/>
          <w:sz w:val="20"/>
          <w:szCs w:val="20"/>
        </w:rPr>
        <w:t xml:space="preserve"> </w:t>
      </w:r>
    </w:p>
    <w:p w14:paraId="31DAAFFB" w14:textId="77777777" w:rsidR="00B91BC8" w:rsidRDefault="00B91BC8" w:rsidP="00B72C28">
      <w:pPr>
        <w:spacing w:line="240" w:lineRule="auto"/>
        <w:jc w:val="both"/>
        <w:rPr>
          <w:rFonts w:ascii="Open Sans" w:hAnsi="Open Sans" w:cs="Open Sans"/>
          <w:sz w:val="20"/>
          <w:szCs w:val="20"/>
        </w:rPr>
      </w:pPr>
    </w:p>
    <w:p w14:paraId="5470DF5D" w14:textId="2832F153" w:rsidR="008E32F6" w:rsidRPr="00845917" w:rsidRDefault="008E32F6" w:rsidP="00845917">
      <w:pPr>
        <w:pStyle w:val="Heading2"/>
        <w:spacing w:before="160" w:after="120" w:line="240" w:lineRule="auto"/>
        <w:ind w:left="576" w:hanging="576"/>
        <w:jc w:val="both"/>
        <w:rPr>
          <w:rFonts w:ascii="Open Sans" w:hAnsi="Open Sans"/>
          <w:sz w:val="20"/>
        </w:rPr>
      </w:pPr>
      <w:r w:rsidRPr="00845917">
        <w:rPr>
          <w:rFonts w:ascii="Open Sans" w:hAnsi="Open Sans"/>
          <w:sz w:val="20"/>
        </w:rPr>
        <w:t xml:space="preserve">Improvements in </w:t>
      </w:r>
      <w:r w:rsidR="00F2562F" w:rsidRPr="00845917">
        <w:rPr>
          <w:rFonts w:ascii="Open Sans" w:hAnsi="Open Sans"/>
          <w:sz w:val="20"/>
        </w:rPr>
        <w:t xml:space="preserve">survey </w:t>
      </w:r>
      <w:r w:rsidRPr="00845917">
        <w:rPr>
          <w:rFonts w:ascii="Open Sans" w:hAnsi="Open Sans"/>
          <w:sz w:val="20"/>
        </w:rPr>
        <w:t>data coverage ha</w:t>
      </w:r>
      <w:r w:rsidR="002E2A85" w:rsidRPr="00845917">
        <w:rPr>
          <w:rFonts w:ascii="Open Sans" w:hAnsi="Open Sans"/>
          <w:sz w:val="20"/>
        </w:rPr>
        <w:t>ve</w:t>
      </w:r>
      <w:r w:rsidRPr="00845917">
        <w:rPr>
          <w:rFonts w:ascii="Open Sans" w:hAnsi="Open Sans"/>
          <w:sz w:val="20"/>
        </w:rPr>
        <w:t xml:space="preserve"> been significant </w:t>
      </w:r>
      <w:r w:rsidR="008D4963" w:rsidRPr="00845917">
        <w:rPr>
          <w:rFonts w:ascii="Open Sans" w:hAnsi="Open Sans"/>
          <w:sz w:val="20"/>
        </w:rPr>
        <w:t xml:space="preserve">but still lag where data is needed the </w:t>
      </w:r>
      <w:proofErr w:type="gramStart"/>
      <w:r w:rsidR="008D4963" w:rsidRPr="00845917">
        <w:rPr>
          <w:rFonts w:ascii="Open Sans" w:hAnsi="Open Sans"/>
          <w:sz w:val="20"/>
        </w:rPr>
        <w:t>most</w:t>
      </w:r>
      <w:proofErr w:type="gramEnd"/>
    </w:p>
    <w:p w14:paraId="79DE4D6D" w14:textId="6AB729F9" w:rsidR="005F4F39" w:rsidRDefault="005F4F39" w:rsidP="005F4F39">
      <w:pPr>
        <w:spacing w:before="240" w:line="240" w:lineRule="auto"/>
        <w:jc w:val="both"/>
        <w:rPr>
          <w:rFonts w:ascii="Open Sans" w:hAnsi="Open Sans" w:cs="Open Sans"/>
          <w:sz w:val="20"/>
          <w:szCs w:val="20"/>
        </w:rPr>
      </w:pPr>
      <w:r>
        <w:rPr>
          <w:rFonts w:ascii="Open Sans" w:hAnsi="Open Sans" w:cs="Open Sans"/>
          <w:sz w:val="20"/>
          <w:szCs w:val="20"/>
        </w:rPr>
        <w:t>Household survey data, in particular household budget surveys</w:t>
      </w:r>
      <w:r w:rsidR="00070DF3">
        <w:rPr>
          <w:rFonts w:ascii="Open Sans" w:hAnsi="Open Sans" w:cs="Open Sans"/>
          <w:sz w:val="20"/>
          <w:szCs w:val="20"/>
        </w:rPr>
        <w:t xml:space="preserve"> </w:t>
      </w:r>
      <w:r>
        <w:rPr>
          <w:rFonts w:ascii="Open Sans" w:hAnsi="Open Sans" w:cs="Open Sans"/>
          <w:sz w:val="20"/>
          <w:szCs w:val="20"/>
        </w:rPr>
        <w:t xml:space="preserve">continue to be at the core of the monitoring of the World Bank vision. This data is needed to track poverty, multi-dimensional poverty, shared prosperity, high inequality, and it is the basis for the quantification of the share of people at risk of extreme weather events. These data are also foundational to modelling and projections on the potential impacts of climate change on welfare and for understanding trade-offs related to climate policies. </w:t>
      </w:r>
    </w:p>
    <w:p w14:paraId="42EFE6EE" w14:textId="38D52A07" w:rsidR="009C72A4" w:rsidRPr="001F3E92" w:rsidRDefault="00360B1C" w:rsidP="00077757">
      <w:pPr>
        <w:spacing w:before="240" w:line="240" w:lineRule="auto"/>
        <w:jc w:val="both"/>
        <w:rPr>
          <w:rFonts w:ascii="Open Sans" w:hAnsi="Open Sans" w:cs="Open Sans"/>
          <w:sz w:val="20"/>
          <w:szCs w:val="20"/>
        </w:rPr>
      </w:pPr>
      <w:r w:rsidRPr="001F3E92">
        <w:rPr>
          <w:rFonts w:ascii="Open Sans" w:hAnsi="Open Sans" w:cs="Open Sans"/>
          <w:sz w:val="20"/>
          <w:szCs w:val="20"/>
        </w:rPr>
        <w:t xml:space="preserve">Overall, there has been substantial progress in the availability of </w:t>
      </w:r>
      <w:r w:rsidR="00DD59F6">
        <w:rPr>
          <w:rFonts w:ascii="Open Sans" w:hAnsi="Open Sans" w:cs="Open Sans"/>
          <w:sz w:val="20"/>
          <w:szCs w:val="20"/>
        </w:rPr>
        <w:t xml:space="preserve">household budget </w:t>
      </w:r>
      <w:r w:rsidRPr="001F3E92">
        <w:rPr>
          <w:rFonts w:ascii="Open Sans" w:hAnsi="Open Sans" w:cs="Open Sans"/>
          <w:sz w:val="20"/>
          <w:szCs w:val="20"/>
        </w:rPr>
        <w:t>survey data</w:t>
      </w:r>
      <w:r w:rsidR="00DD59F6">
        <w:rPr>
          <w:rFonts w:ascii="Open Sans" w:hAnsi="Open Sans" w:cs="Open Sans"/>
          <w:sz w:val="20"/>
          <w:szCs w:val="20"/>
        </w:rPr>
        <w:t xml:space="preserve"> containing information on income and/or consumption</w:t>
      </w:r>
      <w:r w:rsidRPr="001F3E92">
        <w:rPr>
          <w:rFonts w:ascii="Open Sans" w:hAnsi="Open Sans" w:cs="Open Sans"/>
          <w:sz w:val="20"/>
          <w:szCs w:val="20"/>
        </w:rPr>
        <w:t xml:space="preserve">. </w:t>
      </w:r>
      <w:r w:rsidR="009C72A4" w:rsidRPr="001F3E92">
        <w:rPr>
          <w:rFonts w:ascii="Open Sans" w:hAnsi="Open Sans" w:cs="Open Sans"/>
          <w:sz w:val="20"/>
          <w:szCs w:val="20"/>
        </w:rPr>
        <w:t xml:space="preserve">The previous versions of this Report, </w:t>
      </w:r>
      <w:r w:rsidR="009C72A4" w:rsidRPr="001F3E92">
        <w:rPr>
          <w:rFonts w:ascii="Open Sans" w:hAnsi="Open Sans" w:cs="Open Sans"/>
          <w:i/>
          <w:iCs/>
          <w:sz w:val="20"/>
          <w:szCs w:val="20"/>
        </w:rPr>
        <w:t>Poverty and Shared Prosperity Reports</w:t>
      </w:r>
      <w:r w:rsidR="009C72A4" w:rsidRPr="001F3E92">
        <w:rPr>
          <w:rFonts w:ascii="Open Sans" w:hAnsi="Open Sans" w:cs="Open Sans"/>
          <w:sz w:val="20"/>
          <w:szCs w:val="20"/>
        </w:rPr>
        <w:t xml:space="preserve"> (PSPRs), typically had a three-year lag in reporting </w:t>
      </w:r>
      <w:r w:rsidR="0013476D" w:rsidRPr="001F3E92">
        <w:rPr>
          <w:rFonts w:ascii="Open Sans" w:hAnsi="Open Sans" w:cs="Open Sans"/>
          <w:sz w:val="20"/>
          <w:szCs w:val="20"/>
        </w:rPr>
        <w:t>baseline (observed</w:t>
      </w:r>
      <w:r w:rsidR="00D75B97">
        <w:rPr>
          <w:rFonts w:ascii="Open Sans" w:hAnsi="Open Sans" w:cs="Open Sans"/>
          <w:sz w:val="20"/>
          <w:szCs w:val="20"/>
        </w:rPr>
        <w:t xml:space="preserve"> based on surveys</w:t>
      </w:r>
      <w:r w:rsidR="0013476D" w:rsidRPr="001F3E92">
        <w:rPr>
          <w:rFonts w:ascii="Open Sans" w:hAnsi="Open Sans" w:cs="Open Sans"/>
          <w:sz w:val="20"/>
          <w:szCs w:val="20"/>
        </w:rPr>
        <w:t xml:space="preserve">) </w:t>
      </w:r>
      <w:r w:rsidR="009C72A4" w:rsidRPr="001F3E92">
        <w:rPr>
          <w:rFonts w:ascii="Open Sans" w:hAnsi="Open Sans" w:cs="Open Sans"/>
          <w:sz w:val="20"/>
          <w:szCs w:val="20"/>
        </w:rPr>
        <w:t xml:space="preserve">global poverty </w:t>
      </w:r>
      <w:r w:rsidR="006D3D98">
        <w:rPr>
          <w:rFonts w:ascii="Open Sans" w:hAnsi="Open Sans" w:cs="Open Sans"/>
          <w:sz w:val="20"/>
          <w:szCs w:val="20"/>
        </w:rPr>
        <w:t xml:space="preserve">and shared prosperity </w:t>
      </w:r>
      <w:r w:rsidR="009C72A4" w:rsidRPr="001F3E92">
        <w:rPr>
          <w:rFonts w:ascii="Open Sans" w:hAnsi="Open Sans" w:cs="Open Sans"/>
          <w:sz w:val="20"/>
          <w:szCs w:val="20"/>
        </w:rPr>
        <w:t xml:space="preserve">estimates.  This report has only a 2-year lag in reporting </w:t>
      </w:r>
      <w:r w:rsidR="0013476D" w:rsidRPr="001F3E92">
        <w:rPr>
          <w:rFonts w:ascii="Open Sans" w:hAnsi="Open Sans" w:cs="Open Sans"/>
          <w:sz w:val="20"/>
          <w:szCs w:val="20"/>
        </w:rPr>
        <w:t xml:space="preserve">baseline </w:t>
      </w:r>
      <w:r w:rsidR="009C72A4" w:rsidRPr="001F3E92">
        <w:rPr>
          <w:rFonts w:ascii="Open Sans" w:hAnsi="Open Sans" w:cs="Open Sans"/>
          <w:sz w:val="20"/>
          <w:szCs w:val="20"/>
        </w:rPr>
        <w:t>global estimates.</w:t>
      </w:r>
      <w:r w:rsidR="007B273D" w:rsidRPr="001F3E92">
        <w:rPr>
          <w:rFonts w:ascii="Open Sans" w:hAnsi="Open Sans" w:cs="Open Sans"/>
          <w:sz w:val="20"/>
          <w:szCs w:val="20"/>
        </w:rPr>
        <w:t xml:space="preserve"> Despite the COVID-19 pandemic, there has been sufficient survey data coverage for the world and all regions for this report to present baseline poverty data and shared prosperity data until 2022, except the Middle East and North Africa, a conflicted-affected countries (see box 2, chapter 1).</w:t>
      </w:r>
    </w:p>
    <w:p w14:paraId="194F45A8" w14:textId="0E7656A1" w:rsidR="0032426B" w:rsidRPr="00CD7662" w:rsidRDefault="00360B1C" w:rsidP="00077757">
      <w:pPr>
        <w:spacing w:before="240" w:line="240" w:lineRule="auto"/>
        <w:jc w:val="both"/>
        <w:rPr>
          <w:rFonts w:ascii="Open Sans" w:hAnsi="Open Sans" w:cs="Open Sans"/>
          <w:sz w:val="20"/>
          <w:szCs w:val="20"/>
        </w:rPr>
      </w:pPr>
      <w:r w:rsidRPr="001F3E92">
        <w:rPr>
          <w:rFonts w:ascii="Open Sans" w:hAnsi="Open Sans" w:cs="Open Sans"/>
          <w:sz w:val="20"/>
          <w:szCs w:val="20"/>
        </w:rPr>
        <w:t xml:space="preserve">Globally, </w:t>
      </w:r>
      <w:r w:rsidR="008C3B8B" w:rsidRPr="001F3E92">
        <w:rPr>
          <w:rFonts w:ascii="Open Sans" w:hAnsi="Open Sans" w:cs="Open Sans"/>
          <w:sz w:val="20"/>
          <w:szCs w:val="20"/>
        </w:rPr>
        <w:t>between 1998 and 2022</w:t>
      </w:r>
      <w:r w:rsidR="008C3B8B">
        <w:rPr>
          <w:rFonts w:ascii="Open Sans" w:hAnsi="Open Sans" w:cs="Open Sans"/>
          <w:sz w:val="20"/>
          <w:szCs w:val="20"/>
        </w:rPr>
        <w:t xml:space="preserve">, </w:t>
      </w:r>
      <w:r w:rsidRPr="001F3E92">
        <w:rPr>
          <w:rFonts w:ascii="Open Sans" w:hAnsi="Open Sans" w:cs="Open Sans"/>
          <w:sz w:val="20"/>
          <w:szCs w:val="20"/>
        </w:rPr>
        <w:t xml:space="preserve">the </w:t>
      </w:r>
      <w:r w:rsidR="008C3B8B">
        <w:rPr>
          <w:rFonts w:ascii="Open Sans" w:hAnsi="Open Sans" w:cs="Open Sans"/>
          <w:sz w:val="20"/>
          <w:szCs w:val="20"/>
        </w:rPr>
        <w:t xml:space="preserve">average </w:t>
      </w:r>
      <w:r w:rsidRPr="001F3E92">
        <w:rPr>
          <w:rFonts w:ascii="Open Sans" w:hAnsi="Open Sans" w:cs="Open Sans"/>
          <w:sz w:val="20"/>
          <w:szCs w:val="20"/>
        </w:rPr>
        <w:t xml:space="preserve">number of available survey data sets per country increased from 2.1 to 9.9, almost a five-fold increase. Upper-middle- and high-income countries </w:t>
      </w:r>
      <w:r w:rsidR="0027142A" w:rsidRPr="001F3E92">
        <w:rPr>
          <w:rFonts w:ascii="Open Sans" w:hAnsi="Open Sans" w:cs="Open Sans"/>
          <w:sz w:val="20"/>
          <w:szCs w:val="20"/>
        </w:rPr>
        <w:t>drove</w:t>
      </w:r>
      <w:r w:rsidRPr="001F3E92">
        <w:rPr>
          <w:rFonts w:ascii="Open Sans" w:hAnsi="Open Sans" w:cs="Open Sans"/>
          <w:sz w:val="20"/>
          <w:szCs w:val="20"/>
        </w:rPr>
        <w:t xml:space="preserve"> this progress. However, more survey data has also become available </w:t>
      </w:r>
      <w:r w:rsidR="006C116B" w:rsidRPr="001F3E92">
        <w:rPr>
          <w:rFonts w:ascii="Open Sans" w:hAnsi="Open Sans" w:cs="Open Sans"/>
          <w:sz w:val="20"/>
          <w:szCs w:val="20"/>
        </w:rPr>
        <w:t>in lower income</w:t>
      </w:r>
      <w:r w:rsidRPr="001F3E92">
        <w:rPr>
          <w:rFonts w:ascii="Open Sans" w:hAnsi="Open Sans" w:cs="Open Sans"/>
          <w:sz w:val="20"/>
          <w:szCs w:val="20"/>
        </w:rPr>
        <w:t xml:space="preserve"> regions, with improvements in data quality, frequency, </w:t>
      </w:r>
      <w:r w:rsidR="00951AB3">
        <w:rPr>
          <w:rFonts w:ascii="Open Sans" w:hAnsi="Open Sans" w:cs="Open Sans"/>
          <w:sz w:val="20"/>
          <w:szCs w:val="20"/>
        </w:rPr>
        <w:t xml:space="preserve">and </w:t>
      </w:r>
      <w:r w:rsidRPr="001F3E92">
        <w:rPr>
          <w:rFonts w:ascii="Open Sans" w:hAnsi="Open Sans" w:cs="Open Sans"/>
          <w:sz w:val="20"/>
          <w:szCs w:val="20"/>
        </w:rPr>
        <w:t xml:space="preserve">processing time. For example, the World Bank in collaboration with the West African Economic and Monetary Union (WAEMU) Commission has produced two rounds of comparable and high-quality survey data sets for </w:t>
      </w:r>
      <w:r w:rsidR="00CC06CE">
        <w:rPr>
          <w:rFonts w:ascii="Open Sans" w:hAnsi="Open Sans" w:cs="Open Sans"/>
          <w:sz w:val="20"/>
          <w:szCs w:val="20"/>
        </w:rPr>
        <w:t>member</w:t>
      </w:r>
      <w:r w:rsidRPr="001F3E92">
        <w:rPr>
          <w:rFonts w:ascii="Open Sans" w:hAnsi="Open Sans" w:cs="Open Sans"/>
          <w:sz w:val="20"/>
          <w:szCs w:val="20"/>
        </w:rPr>
        <w:t xml:space="preserve"> countries in 2018/19 and 2021/2022 </w:t>
      </w:r>
      <w:r w:rsidRPr="001F3E92">
        <w:rPr>
          <w:rFonts w:ascii="Open Sans" w:hAnsi="Open Sans" w:cs="Open Sans"/>
          <w:sz w:val="20"/>
          <w:szCs w:val="20"/>
        </w:rPr>
        <w:fldChar w:fldCharType="begin"/>
      </w:r>
      <w:r w:rsidR="000456FF">
        <w:rPr>
          <w:rFonts w:ascii="Open Sans" w:hAnsi="Open Sans" w:cs="Open Sans"/>
          <w:sz w:val="20"/>
          <w:szCs w:val="20"/>
        </w:rPr>
        <w:instrText xml:space="preserve"> ADDIN ZOTERO_ITEM CSL_CITATION {"citationID":"qqBcPQL1","properties":{"formattedCitation":"(Castaneda et al., 2024, 2022)","plainCitation":"(Castaneda et al., 2024, 2022)","noteIndex":0},"citationItems":[{"id":1575,"uris":["http://zotero.org/groups/5125234/items/SJS5GN44"],"itemData":{"id":1575,"type":"book","abstract":"The March 2023 update to the Poverty and Inequality Platform (PIP) involves several changes to the data underlying the global poverty estimates. In particular, some welfare aggregates have been revised, and the CPI, national accounts, and population input data have been updated. This document explains these changes in detail and the reasoning behind them. Moreover, 113 new country-years have been added, bringing the total number of surveys to more than 2,100. Global poverty estimates are reported up to 2019 and earlier years have been revised. Regional poverty estimates in 2020 and 2021 are reported only for regions with sufficient survey data coverage during the COVID-19 pandemic.","language":"en","note":"DOI: 10.1596/41341","publisher":"Washington, DC: World Bank","source":"DOI.org (Crossref)","title":"March 2024 Update to the Poverty and Inequality Platform (PIP): What’s New","title-short":"March 2024 Update to the Poverty and Inequality Platform (PIP)","URL":"https://hdl.handle.net/10986/41341","author":[{"family":"Castaneda","given":"R. Andres Aguilar"},{"family":"Castillo","given":"Adriana"},{"family":"Devpura","given":"Nancy P."},{"family":"Dewina","given":"Reno"},{"family":"Diaz-Bonilla","given":"Carolina"},{"family":"Edochie","given":"Ifeanyi"},{"family":"Farfan Bertran","given":"Maria G."},{"family":"Fernandez Romero","given":"Jaime"},{"family":"Foster","given":"Elizabeth"},{"family":"Fujs","given":"Tony H. M. J."},{"family":"Gonzalez Icaza","given":"Maria F."},{"family":"Jolliffe","given":"Dean"},{"family":"Knippenberg","given":"Erwin W."},{"family":"Krishnan","given":"Nandini"},{"family":"Lakner","given":"Christopher"},{"family":"Lara Ibarra","given":"Gabriel"},{"family":"Lestani","given":"Diego G."},{"family":"Mahler","given":"Daniel G."},{"family":"Montalvo Talledo","given":"Veronica S."},{"family":"Montes","given":"Jose"},{"family":"Nguyen","given":"Minh C."},{"family":"Olivieri","given":"Sergio"},{"family":"Paffhausen","given":"Anna Luisa"},{"family":"Redaelli","given":"Silvia"},{"family":"Saavedra","given":"Trinidad B."},{"family":"Sanchez Castro","given":"Diana M."},{"family":"Tetteh-Baah","given":"Samuel K."},{"family":"Viveros Mendoza","given":"Martha C."},{"family":"Wu","given":"Haoyu"},{"family":"Yonzan","given":"Nishant"},{"family":"Yoshida","given":"Nobuo"}],"accessed":{"date-parts":[["2024",5,7]]},"issued":{"date-parts":[["2024",4,1]]}}},{"id":"Qynwqofk/WNGfdxGw","uris":["http://zotero.org/groups/4403230/items/DZ7TRDKY"],"itemData":{"id":206,"type":"report","abstract":"The April 2022 update to the newly launched Poverty and Inequality Platform (PIP) involves several changes to the data underlying the global poverty estimates. Some welfare aggregates have been changed for improved harmonization, and the CPI, national accounts, and population input data have been updated. This document explains these changes in detail and the reasoning behind them. Moreover, a large number of new country-years have been added, bringing the total number of surveys to more than 2,000. These include new harmonized surveys for countries in West Africa, new imputed poverty estimates for Nigeria, and recent 2020 household survey data for several countries. Global poverty estimates are now reported up to 2018 and earlier years have been revised.","collection-title":"Global Poverty Monitoring Technical Note Series","language":"en","note":"number: 20\npublisher: The World Bank","source":"ideas.repec.org","title":"April 2022 Update to the Poverty and Inequality Platform (PIP): What's New","title-short":"April 2022 Update to the Poverty and Inequality Platform (PIP)","URL":"https://ideas.repec.org//p/wbk/wbgpmt/20.html","author":[{"family":"Castaneda","given":"R. Andres Aguilar"},{"family":"Dewina","given":"Reno"},{"family":"Diaz-Bonilla","given":"Carolina"},{"family":"Edochie","given":"Ifeanyi N."},{"family":"Fujs","given":"Tony H. M. J."},{"family":"Jolliffe","given":"Dean M."},{"family":"Lain","given":"Jonathan"},{"family":"Lakner","given":"Christoph"},{"family":"Ibarra","given":"Gabriel Lara"},{"family":"Mahler","given":"Daniel Gerszon"},{"family":"Meyer","given":"Moritz"},{"family":"Montes","given":"Jose"},{"family":"Herrera","given":"Laura Liliana Moreno"},{"family":"Mungai","given":"Rose"},{"family":"Newhouse","given":"David Locke"},{"family":"Nguyen","given":"Minh C."},{"family":"Castro","given":"Diana M. Sanchez"},{"family":"Schoch","given":"Marta"},{"family":"Sousa","given":"Liliana D."},{"family":"Tetteh-Baah","given":"Samuel K."},{"family":"Uochi","given":"Ikuko"},{"family":"Mendoza","given":"Martha C. Viveros"},{"family":"Wu","given":"Haoyu"},{"family":"Yonzan","given":"Nishant"},{"family":"Yoshida","given":"Nobuo"}],"accessed":{"date-parts":[["2023",4,12]]},"issued":{"date-parts":[["2022",4]]}}}],"schema":"https://github.com/citation-style-language/schema/raw/master/csl-citation.json"} </w:instrText>
      </w:r>
      <w:r w:rsidRPr="001F3E92">
        <w:rPr>
          <w:rFonts w:ascii="Open Sans" w:hAnsi="Open Sans" w:cs="Open Sans"/>
          <w:sz w:val="20"/>
          <w:szCs w:val="20"/>
        </w:rPr>
        <w:fldChar w:fldCharType="separate"/>
      </w:r>
      <w:r w:rsidRPr="001F3E92">
        <w:rPr>
          <w:rFonts w:ascii="Open Sans" w:hAnsi="Open Sans" w:cs="Open Sans"/>
          <w:sz w:val="20"/>
        </w:rPr>
        <w:t>(Castaneda et al., 2024, 2022)</w:t>
      </w:r>
      <w:r w:rsidRPr="001F3E92">
        <w:rPr>
          <w:rFonts w:ascii="Open Sans" w:hAnsi="Open Sans" w:cs="Open Sans"/>
          <w:sz w:val="20"/>
          <w:szCs w:val="20"/>
        </w:rPr>
        <w:fldChar w:fldCharType="end"/>
      </w:r>
      <w:r w:rsidRPr="001F3E92">
        <w:rPr>
          <w:rFonts w:ascii="Open Sans" w:hAnsi="Open Sans" w:cs="Open Sans"/>
          <w:sz w:val="20"/>
          <w:szCs w:val="20"/>
        </w:rPr>
        <w:t xml:space="preserve">. </w:t>
      </w:r>
      <w:r w:rsidR="008E3691" w:rsidRPr="001F3E92">
        <w:rPr>
          <w:rFonts w:ascii="Open Sans" w:hAnsi="Open Sans" w:cs="Open Sans"/>
          <w:sz w:val="20"/>
          <w:szCs w:val="20"/>
        </w:rPr>
        <w:t xml:space="preserve"> There have been also </w:t>
      </w:r>
      <w:r w:rsidR="00967E51" w:rsidRPr="001F3E92">
        <w:rPr>
          <w:rFonts w:ascii="Open Sans" w:hAnsi="Open Sans" w:cs="Open Sans"/>
          <w:sz w:val="20"/>
          <w:szCs w:val="20"/>
        </w:rPr>
        <w:t xml:space="preserve">gains in </w:t>
      </w:r>
      <w:r w:rsidR="00967E51" w:rsidRPr="00CD7662">
        <w:rPr>
          <w:rFonts w:ascii="Open Sans" w:hAnsi="Open Sans" w:cs="Open Sans"/>
          <w:sz w:val="20"/>
          <w:szCs w:val="20"/>
        </w:rPr>
        <w:t xml:space="preserve">collecting </w:t>
      </w:r>
      <w:r w:rsidR="007E7FC7" w:rsidRPr="00CD7662">
        <w:rPr>
          <w:rFonts w:ascii="Open Sans" w:hAnsi="Open Sans" w:cs="Open Sans"/>
          <w:sz w:val="20"/>
          <w:szCs w:val="20"/>
        </w:rPr>
        <w:t xml:space="preserve">new </w:t>
      </w:r>
      <w:r w:rsidR="00967E51" w:rsidRPr="00CD7662">
        <w:rPr>
          <w:rFonts w:ascii="Open Sans" w:hAnsi="Open Sans" w:cs="Open Sans"/>
          <w:sz w:val="20"/>
          <w:szCs w:val="20"/>
        </w:rPr>
        <w:t>data for highly populated countries, such as Nigeria</w:t>
      </w:r>
      <w:r w:rsidR="007E7FC7" w:rsidRPr="00CD7662">
        <w:rPr>
          <w:rFonts w:ascii="Open Sans" w:hAnsi="Open Sans" w:cs="Open Sans"/>
          <w:sz w:val="20"/>
          <w:szCs w:val="20"/>
        </w:rPr>
        <w:t>.</w:t>
      </w:r>
      <w:r w:rsidR="006E6B21" w:rsidRPr="005319E6">
        <w:rPr>
          <w:rStyle w:val="FootnoteReference"/>
        </w:rPr>
        <w:footnoteReference w:id="3"/>
      </w:r>
    </w:p>
    <w:p w14:paraId="7853953C" w14:textId="73767C94" w:rsidR="00360B1C" w:rsidRDefault="00E20ABD" w:rsidP="005319E6">
      <w:pPr>
        <w:pStyle w:val="FootnoteText"/>
        <w:jc w:val="both"/>
        <w:rPr>
          <w:rFonts w:ascii="Open Sans" w:hAnsi="Open Sans" w:cs="Open Sans"/>
        </w:rPr>
      </w:pPr>
      <w:r w:rsidRPr="00CD7662">
        <w:rPr>
          <w:rFonts w:ascii="Open Sans" w:hAnsi="Open Sans" w:cs="Open Sans"/>
        </w:rPr>
        <w:t>Despite progress</w:t>
      </w:r>
      <w:r w:rsidR="0010405C" w:rsidRPr="00CD7662">
        <w:rPr>
          <w:rFonts w:ascii="Open Sans" w:hAnsi="Open Sans" w:cs="Open Sans"/>
        </w:rPr>
        <w:t>, f</w:t>
      </w:r>
      <w:r w:rsidR="00360B1C" w:rsidRPr="00CD7662">
        <w:rPr>
          <w:rFonts w:ascii="Open Sans" w:hAnsi="Open Sans" w:cs="Open Sans"/>
        </w:rPr>
        <w:t xml:space="preserve">ewer than half of the countries around the </w:t>
      </w:r>
      <w:r w:rsidR="00487031" w:rsidRPr="00CD7662">
        <w:rPr>
          <w:rFonts w:ascii="Open Sans" w:hAnsi="Open Sans" w:cs="Open Sans"/>
        </w:rPr>
        <w:t>w</w:t>
      </w:r>
      <w:r w:rsidR="00360B1C" w:rsidRPr="00CD7662">
        <w:rPr>
          <w:rFonts w:ascii="Open Sans" w:hAnsi="Open Sans" w:cs="Open Sans"/>
        </w:rPr>
        <w:t>orld had a survey in 2020 or later (see Figure 2).</w:t>
      </w:r>
      <w:r w:rsidR="00CD7662" w:rsidRPr="00CD7662">
        <w:rPr>
          <w:rFonts w:ascii="Open Sans" w:hAnsi="Open Sans" w:cs="Open Sans"/>
        </w:rPr>
        <w:t xml:space="preserve"> </w:t>
      </w:r>
      <w:r w:rsidR="00CD7662" w:rsidRPr="005319E6">
        <w:rPr>
          <w:rFonts w:ascii="Open Sans" w:hAnsi="Open Sans" w:cs="Open Sans"/>
        </w:rPr>
        <w:t>Regions with many small countries</w:t>
      </w:r>
      <w:r w:rsidR="00335581">
        <w:rPr>
          <w:rFonts w:ascii="Open Sans" w:hAnsi="Open Sans" w:cs="Open Sans"/>
        </w:rPr>
        <w:t xml:space="preserve"> and island states</w:t>
      </w:r>
      <w:r w:rsidR="00CD7662" w:rsidRPr="005319E6">
        <w:rPr>
          <w:rFonts w:ascii="Open Sans" w:hAnsi="Open Sans" w:cs="Open Sans"/>
        </w:rPr>
        <w:t xml:space="preserve"> </w:t>
      </w:r>
      <w:proofErr w:type="gramStart"/>
      <w:r w:rsidR="00CD7662" w:rsidRPr="005319E6">
        <w:rPr>
          <w:rFonts w:ascii="Open Sans" w:hAnsi="Open Sans" w:cs="Open Sans"/>
        </w:rPr>
        <w:t>lag behind</w:t>
      </w:r>
      <w:proofErr w:type="gramEnd"/>
      <w:r w:rsidR="00CD7662" w:rsidRPr="005319E6">
        <w:rPr>
          <w:rFonts w:ascii="Open Sans" w:hAnsi="Open Sans" w:cs="Open Sans"/>
        </w:rPr>
        <w:t xml:space="preserve">. For example, East Asia and Pacific includes many Pacific islands that are not very populous and have infrequent surveys. This also applies to high-income countries, although survey data is also unavailable for some large high-income </w:t>
      </w:r>
      <w:r w:rsidR="00CD7662" w:rsidRPr="005319E6">
        <w:rPr>
          <w:rFonts w:ascii="Open Sans" w:hAnsi="Open Sans" w:cs="Open Sans"/>
        </w:rPr>
        <w:lastRenderedPageBreak/>
        <w:t xml:space="preserve">countries, such as Japan, resulting in population-weighted coverage rates in high-income countries that are less than upper-middle-income countries. </w:t>
      </w:r>
      <w:r w:rsidR="00360B1C" w:rsidRPr="00CD7662">
        <w:rPr>
          <w:rFonts w:ascii="Open Sans" w:hAnsi="Open Sans" w:cs="Open Sans"/>
        </w:rPr>
        <w:t xml:space="preserve"> With less than </w:t>
      </w:r>
      <w:r w:rsidR="00A84F69" w:rsidRPr="00CD7662">
        <w:rPr>
          <w:rFonts w:ascii="Open Sans" w:hAnsi="Open Sans" w:cs="Open Sans"/>
        </w:rPr>
        <w:t>half</w:t>
      </w:r>
      <w:r w:rsidR="00360B1C" w:rsidRPr="00CD7662">
        <w:rPr>
          <w:rFonts w:ascii="Open Sans" w:hAnsi="Open Sans" w:cs="Open Sans"/>
        </w:rPr>
        <w:t xml:space="preserve"> of countries</w:t>
      </w:r>
      <w:r w:rsidR="00360B1C" w:rsidRPr="001F3E92">
        <w:rPr>
          <w:rFonts w:ascii="Open Sans" w:hAnsi="Open Sans" w:cs="Open Sans"/>
        </w:rPr>
        <w:t xml:space="preserve"> with survey data, FC</w:t>
      </w:r>
      <w:r w:rsidR="00A84F69">
        <w:rPr>
          <w:rFonts w:ascii="Open Sans" w:hAnsi="Open Sans" w:cs="Open Sans"/>
        </w:rPr>
        <w:t xml:space="preserve">S </w:t>
      </w:r>
      <w:r w:rsidR="00360B1C" w:rsidRPr="001F3E92">
        <w:rPr>
          <w:rFonts w:ascii="Open Sans" w:hAnsi="Open Sans" w:cs="Open Sans"/>
        </w:rPr>
        <w:t xml:space="preserve">and </w:t>
      </w:r>
      <w:r w:rsidR="00A84F69">
        <w:rPr>
          <w:rFonts w:ascii="Open Sans" w:hAnsi="Open Sans" w:cs="Open Sans"/>
        </w:rPr>
        <w:t>low-income</w:t>
      </w:r>
      <w:r w:rsidR="00360B1C" w:rsidRPr="001F3E92">
        <w:rPr>
          <w:rFonts w:ascii="Open Sans" w:hAnsi="Open Sans" w:cs="Open Sans"/>
        </w:rPr>
        <w:t xml:space="preserve"> countries </w:t>
      </w:r>
      <w:proofErr w:type="gramStart"/>
      <w:r w:rsidR="00373F68">
        <w:rPr>
          <w:rFonts w:ascii="Open Sans" w:hAnsi="Open Sans" w:cs="Open Sans"/>
        </w:rPr>
        <w:t xml:space="preserve">in particular </w:t>
      </w:r>
      <w:r w:rsidR="00360B1C" w:rsidRPr="001F3E92">
        <w:rPr>
          <w:rFonts w:ascii="Open Sans" w:hAnsi="Open Sans" w:cs="Open Sans"/>
        </w:rPr>
        <w:t>continue</w:t>
      </w:r>
      <w:proofErr w:type="gramEnd"/>
      <w:r w:rsidR="00360B1C" w:rsidRPr="001F3E92">
        <w:rPr>
          <w:rFonts w:ascii="Open Sans" w:hAnsi="Open Sans" w:cs="Open Sans"/>
        </w:rPr>
        <w:t xml:space="preserve"> to lag behind</w:t>
      </w:r>
      <w:r w:rsidR="0062194D" w:rsidRPr="001F3E92">
        <w:rPr>
          <w:rFonts w:ascii="Open Sans" w:hAnsi="Open Sans" w:cs="Open Sans"/>
        </w:rPr>
        <w:t xml:space="preserve"> (Figure 1). These countries have consistently had the least survey data covering them since 1998, and the pace of progress is slow compared to richer countries.</w:t>
      </w:r>
    </w:p>
    <w:p w14:paraId="1D8D0BD2" w14:textId="77777777" w:rsidR="006D3D98" w:rsidRPr="001F3E92" w:rsidRDefault="006D3D98" w:rsidP="00077757">
      <w:pPr>
        <w:spacing w:line="240" w:lineRule="auto"/>
        <w:jc w:val="both"/>
        <w:rPr>
          <w:rFonts w:ascii="Open Sans" w:hAnsi="Open Sans" w:cs="Open San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636"/>
      </w:tblGrid>
      <w:tr w:rsidR="0062194D" w:rsidRPr="001F3E92" w14:paraId="5D6FF707" w14:textId="77777777" w:rsidTr="001F3E92">
        <w:tc>
          <w:tcPr>
            <w:tcW w:w="4855" w:type="dxa"/>
          </w:tcPr>
          <w:p w14:paraId="51372DC6" w14:textId="77777777" w:rsidR="0062194D" w:rsidRPr="001F3E92" w:rsidRDefault="0062194D" w:rsidP="001F3E92">
            <w:pPr>
              <w:jc w:val="both"/>
              <w:rPr>
                <w:rFonts w:ascii="Open Sans" w:hAnsi="Open Sans" w:cs="Open Sans"/>
                <w:sz w:val="17"/>
                <w:szCs w:val="17"/>
              </w:rPr>
            </w:pPr>
            <w:r w:rsidRPr="001F3E92">
              <w:rPr>
                <w:rFonts w:ascii="Open Sans" w:hAnsi="Open Sans" w:cs="Open Sans"/>
                <w:b/>
                <w:bCs/>
                <w:sz w:val="17"/>
                <w:szCs w:val="17"/>
              </w:rPr>
              <w:t>Figure 1: Cumulative number of surveys per country</w:t>
            </w:r>
          </w:p>
        </w:tc>
        <w:tc>
          <w:tcPr>
            <w:tcW w:w="4495" w:type="dxa"/>
          </w:tcPr>
          <w:p w14:paraId="4CE3E25D" w14:textId="77777777" w:rsidR="0062194D" w:rsidRPr="001F3E92" w:rsidRDefault="0062194D" w:rsidP="001F3E92">
            <w:pPr>
              <w:jc w:val="both"/>
              <w:rPr>
                <w:rFonts w:ascii="Open Sans" w:hAnsi="Open Sans" w:cs="Open Sans"/>
                <w:b/>
                <w:bCs/>
                <w:sz w:val="17"/>
                <w:szCs w:val="17"/>
              </w:rPr>
            </w:pPr>
            <w:r w:rsidRPr="001F3E92">
              <w:rPr>
                <w:rFonts w:ascii="Open Sans" w:hAnsi="Open Sans" w:cs="Open Sans"/>
                <w:b/>
                <w:bCs/>
                <w:sz w:val="17"/>
                <w:szCs w:val="17"/>
              </w:rPr>
              <w:t xml:space="preserve">Figure 2: Share of countries with data in 2020 or </w:t>
            </w:r>
            <w:commentRangeStart w:id="2"/>
            <w:r w:rsidRPr="001F3E92">
              <w:rPr>
                <w:rFonts w:ascii="Open Sans" w:hAnsi="Open Sans" w:cs="Open Sans"/>
                <w:b/>
                <w:bCs/>
                <w:sz w:val="17"/>
                <w:szCs w:val="17"/>
              </w:rPr>
              <w:t>later</w:t>
            </w:r>
            <w:commentRangeEnd w:id="2"/>
            <w:r w:rsidR="0098205B">
              <w:rPr>
                <w:rStyle w:val="CommentReference"/>
                <w:kern w:val="0"/>
                <w14:ligatures w14:val="none"/>
              </w:rPr>
              <w:commentReference w:id="2"/>
            </w:r>
            <w:r w:rsidRPr="001F3E92">
              <w:rPr>
                <w:rFonts w:ascii="Open Sans" w:hAnsi="Open Sans" w:cs="Open Sans"/>
                <w:b/>
                <w:bCs/>
                <w:sz w:val="17"/>
                <w:szCs w:val="17"/>
              </w:rPr>
              <w:t xml:space="preserve"> </w:t>
            </w:r>
          </w:p>
        </w:tc>
      </w:tr>
      <w:tr w:rsidR="0062194D" w:rsidRPr="001F3E92" w14:paraId="0646D23F" w14:textId="77777777" w:rsidTr="001F3E92">
        <w:tc>
          <w:tcPr>
            <w:tcW w:w="4855" w:type="dxa"/>
          </w:tcPr>
          <w:p w14:paraId="2B64C14E" w14:textId="77777777" w:rsidR="0062194D" w:rsidRPr="001F3E92" w:rsidRDefault="0062194D" w:rsidP="001F3E92">
            <w:pPr>
              <w:jc w:val="both"/>
              <w:rPr>
                <w:rFonts w:ascii="Open Sans" w:hAnsi="Open Sans" w:cs="Open Sans"/>
                <w:sz w:val="20"/>
                <w:szCs w:val="20"/>
              </w:rPr>
            </w:pPr>
            <w:r w:rsidRPr="001F3E92">
              <w:rPr>
                <w:rFonts w:ascii="Open Sans" w:hAnsi="Open Sans" w:cs="Open Sans"/>
                <w:noProof/>
                <w:sz w:val="20"/>
                <w:szCs w:val="20"/>
              </w:rPr>
              <w:drawing>
                <wp:inline distT="0" distB="0" distL="0" distR="0" wp14:anchorId="7CD0AADF" wp14:editId="01F760A0">
                  <wp:extent cx="2909490" cy="2441050"/>
                  <wp:effectExtent l="0" t="0" r="5715" b="0"/>
                  <wp:docPr id="2145146474" name="Picture 214514647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6474" name="Picture 2145146474" descr="A graph of different colored lines&#10;&#10;Description automatically generated"/>
                          <pic:cNvPicPr/>
                        </pic:nvPicPr>
                        <pic:blipFill>
                          <a:blip r:embed="rId15"/>
                          <a:stretch>
                            <a:fillRect/>
                          </a:stretch>
                        </pic:blipFill>
                        <pic:spPr>
                          <a:xfrm>
                            <a:off x="0" y="0"/>
                            <a:ext cx="2951797" cy="2476545"/>
                          </a:xfrm>
                          <a:prstGeom prst="rect">
                            <a:avLst/>
                          </a:prstGeom>
                        </pic:spPr>
                      </pic:pic>
                    </a:graphicData>
                  </a:graphic>
                </wp:inline>
              </w:drawing>
            </w:r>
          </w:p>
        </w:tc>
        <w:tc>
          <w:tcPr>
            <w:tcW w:w="4495" w:type="dxa"/>
          </w:tcPr>
          <w:p w14:paraId="5358872E" w14:textId="77777777" w:rsidR="0062194D" w:rsidRPr="001F3E92" w:rsidRDefault="0062194D" w:rsidP="001F3E92">
            <w:pPr>
              <w:jc w:val="both"/>
              <w:rPr>
                <w:rFonts w:ascii="Open Sans" w:hAnsi="Open Sans" w:cs="Open Sans"/>
                <w:sz w:val="20"/>
                <w:szCs w:val="20"/>
              </w:rPr>
            </w:pPr>
            <w:r w:rsidRPr="00077757">
              <w:rPr>
                <w:rFonts w:ascii="Open Sans" w:hAnsi="Open Sans" w:cs="Open Sans"/>
                <w:noProof/>
              </w:rPr>
              <w:drawing>
                <wp:inline distT="0" distB="0" distL="0" distR="0" wp14:anchorId="421469C3" wp14:editId="61199F5E">
                  <wp:extent cx="2850328" cy="2237324"/>
                  <wp:effectExtent l="0" t="0" r="7620" b="0"/>
                  <wp:docPr id="491193631" name="Picture 49119363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93631" name="Picture 491193631" descr="A graph of different colored bars&#10;&#10;Description automatically generated"/>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869087" cy="2252049"/>
                          </a:xfrm>
                          <a:prstGeom prst="rect">
                            <a:avLst/>
                          </a:prstGeom>
                          <a:noFill/>
                          <a:ln>
                            <a:noFill/>
                          </a:ln>
                        </pic:spPr>
                      </pic:pic>
                    </a:graphicData>
                  </a:graphic>
                </wp:inline>
              </w:drawing>
            </w:r>
          </w:p>
        </w:tc>
      </w:tr>
    </w:tbl>
    <w:p w14:paraId="65FC68E4" w14:textId="77777777" w:rsidR="0062194D" w:rsidRPr="001F3E92" w:rsidRDefault="0062194D" w:rsidP="00077757">
      <w:pPr>
        <w:spacing w:after="0" w:line="240" w:lineRule="auto"/>
        <w:jc w:val="both"/>
        <w:rPr>
          <w:rFonts w:ascii="Open Sans" w:hAnsi="Open Sans" w:cs="Open Sans"/>
          <w:sz w:val="18"/>
          <w:szCs w:val="18"/>
        </w:rPr>
      </w:pPr>
      <w:r w:rsidRPr="001F3E92">
        <w:rPr>
          <w:rFonts w:ascii="Open Sans" w:hAnsi="Open Sans" w:cs="Open Sans"/>
          <w:sz w:val="18"/>
          <w:szCs w:val="18"/>
        </w:rPr>
        <w:t>Source:  Poverty and Inequality Platform (PIP)</w:t>
      </w:r>
    </w:p>
    <w:p w14:paraId="1F50E0E6" w14:textId="77777777" w:rsidR="0062194D" w:rsidRPr="001F3E92" w:rsidRDefault="0062194D" w:rsidP="00077757">
      <w:pPr>
        <w:spacing w:after="0" w:line="240" w:lineRule="auto"/>
        <w:jc w:val="both"/>
        <w:rPr>
          <w:rFonts w:ascii="Open Sans" w:hAnsi="Open Sans" w:cs="Open Sans"/>
          <w:sz w:val="18"/>
          <w:szCs w:val="18"/>
        </w:rPr>
      </w:pPr>
      <w:r w:rsidRPr="001F3E92">
        <w:rPr>
          <w:rFonts w:ascii="Open Sans" w:hAnsi="Open Sans" w:cs="Open Sans"/>
          <w:sz w:val="18"/>
          <w:szCs w:val="18"/>
        </w:rPr>
        <w:t>Note: The classification of countries by fragile, conflict-affected, and violent (FCV), International Development Association (IDA), and income status is based on the latest available data for year 2022.</w:t>
      </w:r>
    </w:p>
    <w:p w14:paraId="5FEDF954" w14:textId="77777777" w:rsidR="0062194D" w:rsidRPr="001F3E92" w:rsidRDefault="0062194D" w:rsidP="00077757">
      <w:pPr>
        <w:spacing w:line="240" w:lineRule="auto"/>
        <w:jc w:val="both"/>
        <w:rPr>
          <w:rFonts w:ascii="Open Sans" w:hAnsi="Open Sans" w:cs="Open Sans"/>
          <w:sz w:val="20"/>
          <w:szCs w:val="20"/>
        </w:rPr>
      </w:pPr>
    </w:p>
    <w:p w14:paraId="4B2790CC" w14:textId="77777777" w:rsidR="00C125D8" w:rsidRPr="005319E6" w:rsidRDefault="009C11F3" w:rsidP="00A44B6B">
      <w:pPr>
        <w:pStyle w:val="Heading3"/>
      </w:pPr>
      <w:r w:rsidRPr="005319E6">
        <w:t xml:space="preserve">More is needed in terms of </w:t>
      </w:r>
      <w:r w:rsidR="0062194D" w:rsidRPr="005319E6">
        <w:t>prioritizing funding for</w:t>
      </w:r>
      <w:r w:rsidR="00A45ED1" w:rsidRPr="005319E6">
        <w:t xml:space="preserve"> traditional</w:t>
      </w:r>
      <w:r w:rsidR="0062194D" w:rsidRPr="005319E6">
        <w:t xml:space="preserve"> surveys</w:t>
      </w:r>
      <w:r w:rsidRPr="005319E6">
        <w:t xml:space="preserve"> </w:t>
      </w:r>
      <w:r w:rsidR="00385006" w:rsidRPr="005319E6">
        <w:t xml:space="preserve">in </w:t>
      </w:r>
      <w:r w:rsidR="00B64338" w:rsidRPr="005319E6">
        <w:t>low-income</w:t>
      </w:r>
      <w:r w:rsidR="00385006" w:rsidRPr="005319E6">
        <w:t xml:space="preserve"> settings</w:t>
      </w:r>
      <w:r w:rsidR="00725F8E" w:rsidRPr="005319E6">
        <w:t xml:space="preserve">. </w:t>
      </w:r>
    </w:p>
    <w:p w14:paraId="1353AAFE" w14:textId="69F0A595" w:rsidR="00F12FD7" w:rsidRPr="00077757" w:rsidRDefault="00B34000" w:rsidP="00077757">
      <w:pPr>
        <w:spacing w:line="240" w:lineRule="auto"/>
        <w:jc w:val="both"/>
        <w:rPr>
          <w:rFonts w:ascii="Open Sans" w:hAnsi="Open Sans" w:cs="Open Sans"/>
          <w:sz w:val="20"/>
          <w:szCs w:val="20"/>
        </w:rPr>
      </w:pPr>
      <w:r w:rsidRPr="00077757">
        <w:rPr>
          <w:rFonts w:ascii="Open Sans" w:hAnsi="Open Sans" w:cs="Open Sans"/>
          <w:sz w:val="20"/>
          <w:szCs w:val="20"/>
        </w:rPr>
        <w:t xml:space="preserve">Collecting good data is costly and the public-nature of development data implies that that it is usually undersupplied </w:t>
      </w:r>
      <w:r w:rsidRPr="00077757">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{"citationID":"pPD6sbOk","properties":{"formattedCitation":"(Chin, 2021)","plainCitation":"(Chin, 2021)","noteIndex":0},"citationItems":[{"id":1620,"uris":["http://zotero.org/groups/5125234/items/R85UQ9TX"],"itemData":{"id":1620,"type":"webpage","abstract":"Public goods encompass many aspects of our lives: from our natural environment, our histories and cultures, and technological progress down to everyday devices such as the metric system.","container-title":"Finance &amp; Development","language":"ENG","title":"What Are Global Public Goods?","URL":"https://www.imf.org/en/Publications/fandd/issues/2021/12/Global-Public-Goods-Chin-basics","author":[{"family":"Chin","given":"Moya"}],"accessed":{"date-parts":[["2024",6,5]]},"issued":{"date-parts":[["2021"]]}}}],"schema":"https://github.com/citation-style-language/schema/raw/master/csl-citation.json"} </w:instrText>
      </w:r>
      <w:r w:rsidRPr="00077757">
        <w:rPr>
          <w:rFonts w:ascii="Open Sans" w:hAnsi="Open Sans" w:cs="Open Sans"/>
          <w:sz w:val="20"/>
          <w:szCs w:val="20"/>
        </w:rPr>
        <w:fldChar w:fldCharType="separate"/>
      </w:r>
      <w:r w:rsidRPr="00077757">
        <w:rPr>
          <w:rFonts w:ascii="Open Sans" w:hAnsi="Open Sans" w:cs="Open Sans"/>
          <w:sz w:val="20"/>
          <w:szCs w:val="20"/>
        </w:rPr>
        <w:t>(Chin, 2021)</w:t>
      </w:r>
      <w:r w:rsidRPr="00077757">
        <w:rPr>
          <w:rFonts w:ascii="Open Sans" w:hAnsi="Open Sans" w:cs="Open Sans"/>
          <w:sz w:val="20"/>
          <w:szCs w:val="20"/>
        </w:rPr>
        <w:fldChar w:fldCharType="end"/>
      </w:r>
      <w:r w:rsidRPr="00077757">
        <w:rPr>
          <w:rFonts w:ascii="Open Sans" w:hAnsi="Open Sans" w:cs="Open Sans"/>
          <w:sz w:val="20"/>
          <w:szCs w:val="20"/>
        </w:rPr>
        <w:t>.</w:t>
      </w:r>
      <w:r w:rsidR="004B3513" w:rsidRPr="005319E6">
        <w:rPr>
          <w:rStyle w:val="FootnoteReference"/>
        </w:rPr>
        <w:footnoteReference w:id="4"/>
      </w:r>
      <w:r w:rsidRPr="00077757">
        <w:rPr>
          <w:rFonts w:ascii="Open Sans" w:hAnsi="Open Sans" w:cs="Open Sans"/>
          <w:sz w:val="20"/>
          <w:szCs w:val="20"/>
        </w:rPr>
        <w:t xml:space="preserve"> </w:t>
      </w:r>
      <w:r w:rsidR="00326D4A" w:rsidRPr="00077757">
        <w:rPr>
          <w:rFonts w:ascii="Open Sans" w:hAnsi="Open Sans" w:cs="Open Sans"/>
          <w:sz w:val="20"/>
          <w:szCs w:val="20"/>
        </w:rPr>
        <w:t xml:space="preserve">Traditional collection of surveys </w:t>
      </w:r>
      <w:r w:rsidR="005C7EC1" w:rsidRPr="00077757">
        <w:rPr>
          <w:rFonts w:ascii="Open Sans" w:hAnsi="Open Sans" w:cs="Open Sans"/>
          <w:sz w:val="20"/>
          <w:szCs w:val="20"/>
        </w:rPr>
        <w:t>can be prohibitively h</w:t>
      </w:r>
      <w:r w:rsidR="001C5457" w:rsidRPr="00077757">
        <w:rPr>
          <w:rFonts w:ascii="Open Sans" w:hAnsi="Open Sans" w:cs="Open Sans"/>
          <w:sz w:val="20"/>
          <w:szCs w:val="20"/>
        </w:rPr>
        <w:t>igh</w:t>
      </w:r>
      <w:r w:rsidR="00BE32C3" w:rsidRPr="00077757">
        <w:rPr>
          <w:rFonts w:ascii="Open Sans" w:hAnsi="Open Sans" w:cs="Open Sans"/>
          <w:sz w:val="20"/>
          <w:szCs w:val="20"/>
        </w:rPr>
        <w:t xml:space="preserve"> in settings where budgets are constrained. F</w:t>
      </w:r>
      <w:r w:rsidR="005C7EC1" w:rsidRPr="00077757">
        <w:rPr>
          <w:rFonts w:ascii="Open Sans" w:hAnsi="Open Sans" w:cs="Open Sans"/>
          <w:sz w:val="20"/>
          <w:szCs w:val="20"/>
        </w:rPr>
        <w:t>or example</w:t>
      </w:r>
      <w:commentRangeStart w:id="4"/>
      <w:r w:rsidR="005C7EC1" w:rsidRPr="00077757">
        <w:rPr>
          <w:rFonts w:ascii="Open Sans" w:hAnsi="Open Sans" w:cs="Open Sans"/>
          <w:sz w:val="20"/>
          <w:szCs w:val="20"/>
        </w:rPr>
        <w:t xml:space="preserve">, it would cost about </w:t>
      </w:r>
      <w:r w:rsidR="005C7EC1" w:rsidRPr="00077757">
        <w:rPr>
          <w:rFonts w:ascii="Open Sans" w:hAnsi="Open Sans" w:cs="Open Sans"/>
          <w:sz w:val="20"/>
          <w:szCs w:val="20"/>
          <w:highlight w:val="yellow"/>
        </w:rPr>
        <w:t>$1billion</w:t>
      </w:r>
      <w:r w:rsidR="005C7EC1" w:rsidRPr="00077757">
        <w:rPr>
          <w:rFonts w:ascii="Open Sans" w:hAnsi="Open Sans" w:cs="Open Sans"/>
          <w:sz w:val="20"/>
          <w:szCs w:val="20"/>
        </w:rPr>
        <w:t xml:space="preserve"> </w:t>
      </w:r>
      <w:commentRangeEnd w:id="4"/>
      <w:r w:rsidR="001B381F">
        <w:rPr>
          <w:rStyle w:val="CommentReference"/>
          <w:kern w:val="0"/>
          <w14:ligatures w14:val="none"/>
        </w:rPr>
        <w:commentReference w:id="4"/>
      </w:r>
      <w:r w:rsidR="005C7EC1" w:rsidRPr="00077757">
        <w:rPr>
          <w:rFonts w:ascii="Open Sans" w:hAnsi="Open Sans" w:cs="Open Sans"/>
          <w:sz w:val="20"/>
          <w:szCs w:val="20"/>
        </w:rPr>
        <w:t xml:space="preserve">(in 2014 prices) to field surveys in 78 IDA countries once every three years in the period 2016-2030 </w:t>
      </w:r>
      <w:r w:rsidR="005C7EC1" w:rsidRPr="00077757">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{"citationID":"VAsbCc4X","properties":{"formattedCitation":"(Kilic et al., 2017)","plainCitation":"(Kilic et al., 2017)","noteIndex":0},"citationItems":[{"id":1659,"uris":["http://zotero.org/groups/5125234/items/8ZQL7HK7"],"itemData":{"id":1659,"type":"book","collection-title":"Policy Research Working Papers","note":"DOI: 10.1596/1813-9450-7951","number-of-pages":"34","publisher":"The World Bank","source":"elibrary.worldbank.org (Atypon)","title":"Costing Household Surveys for Monitoring Progress Toward Ending Extreme Poverty and Boosting Shared Prosperity","URL":"https://elibrary.worldbank.org/doi/abs/10.1596/1813-9450-7951","author":[{"family":"Kilic","given":"Talip"},{"family":"Serajuddin","given":"Umar"},{"family":"Uematsu","given":"Hiroki"},{"family":"Yoshida","given":"Nobuo"}],"accessed":{"date-parts":[["2024",6,7]]},"issued":{"date-parts":[["2017",1,24]]}}}],"schema":"https://github.com/citation-style-language/schema/raw/master/csl-citation.json"} </w:instrText>
      </w:r>
      <w:r w:rsidR="005C7EC1" w:rsidRPr="00077757">
        <w:rPr>
          <w:rFonts w:ascii="Open Sans" w:hAnsi="Open Sans" w:cs="Open Sans"/>
          <w:sz w:val="20"/>
          <w:szCs w:val="20"/>
        </w:rPr>
        <w:fldChar w:fldCharType="separate"/>
      </w:r>
      <w:r w:rsidR="005C7EC1" w:rsidRPr="00077757">
        <w:rPr>
          <w:rFonts w:ascii="Open Sans" w:hAnsi="Open Sans" w:cs="Open Sans"/>
          <w:sz w:val="20"/>
          <w:szCs w:val="20"/>
        </w:rPr>
        <w:t>(Kilic et al., 2017)</w:t>
      </w:r>
      <w:r w:rsidR="005C7EC1" w:rsidRPr="00077757">
        <w:rPr>
          <w:rFonts w:ascii="Open Sans" w:hAnsi="Open Sans" w:cs="Open Sans"/>
          <w:sz w:val="20"/>
          <w:szCs w:val="20"/>
        </w:rPr>
        <w:fldChar w:fldCharType="end"/>
      </w:r>
      <w:r w:rsidR="005C7EC1" w:rsidRPr="00077757">
        <w:rPr>
          <w:rFonts w:ascii="Open Sans" w:hAnsi="Open Sans" w:cs="Open Sans"/>
          <w:sz w:val="20"/>
          <w:szCs w:val="20"/>
        </w:rPr>
        <w:t xml:space="preserve">. </w:t>
      </w:r>
      <w:r w:rsidR="00F12FD7" w:rsidRPr="00077757">
        <w:rPr>
          <w:rFonts w:ascii="Open Sans" w:hAnsi="Open Sans" w:cs="Open Sans"/>
          <w:sz w:val="20"/>
          <w:szCs w:val="20"/>
        </w:rPr>
        <w:t xml:space="preserve"> T</w:t>
      </w:r>
      <w:r w:rsidR="005C7EC1" w:rsidRPr="00077757">
        <w:rPr>
          <w:rFonts w:ascii="Open Sans" w:hAnsi="Open Sans" w:cs="Open Sans"/>
          <w:sz w:val="20"/>
          <w:szCs w:val="20"/>
        </w:rPr>
        <w:t xml:space="preserve">he World Bank has lent $2 billion to 40  countries, mostly in Sub-Saharan Africa, since the introduction of the Data for Policy Initiative in 2020 </w:t>
      </w:r>
      <w:r w:rsidR="005C7EC1" w:rsidRPr="00077757">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{"citationID":"qxAVhgwI","properties":{"formattedCitation":"(Dabalen et al., 2020)","plainCitation":"(Dabalen et al., 2020)","noteIndex":0},"citationItems":[{"id":1657,"uris":["http://zotero.org/groups/5125234/items/A5HM48X3"],"itemData":{"id":1657,"type":"article-journal","issue":"21","language":"en","source":"Zotero","title":"Data for Policy (D4P) Initiative","author":[{"family":"Dabalen","given":"Andrew"},{"family":"Himelein","given":"Kristen"},{"family":"Castelan","given":"Carlos Rodriguez"}],"issued":{"date-parts":[["2020"]]}}}],"schema":"https://github.com/citation-style-language/schema/raw/master/csl-citation.json"} </w:instrText>
      </w:r>
      <w:r w:rsidR="005C7EC1" w:rsidRPr="00077757">
        <w:rPr>
          <w:rFonts w:ascii="Open Sans" w:hAnsi="Open Sans" w:cs="Open Sans"/>
          <w:sz w:val="20"/>
          <w:szCs w:val="20"/>
        </w:rPr>
        <w:fldChar w:fldCharType="separate"/>
      </w:r>
      <w:r w:rsidR="005C7EC1" w:rsidRPr="00077757">
        <w:rPr>
          <w:rFonts w:ascii="Open Sans" w:hAnsi="Open Sans" w:cs="Open Sans"/>
          <w:sz w:val="20"/>
          <w:szCs w:val="20"/>
        </w:rPr>
        <w:t>(Dabalen et al., 2020)</w:t>
      </w:r>
      <w:r w:rsidR="005C7EC1" w:rsidRPr="00077757">
        <w:rPr>
          <w:rFonts w:ascii="Open Sans" w:hAnsi="Open Sans" w:cs="Open Sans"/>
          <w:sz w:val="20"/>
          <w:szCs w:val="20"/>
        </w:rPr>
        <w:fldChar w:fldCharType="end"/>
      </w:r>
      <w:r w:rsidR="005C7EC1" w:rsidRPr="00077757">
        <w:rPr>
          <w:rFonts w:ascii="Open Sans" w:hAnsi="Open Sans" w:cs="Open Sans"/>
          <w:sz w:val="20"/>
          <w:szCs w:val="20"/>
        </w:rPr>
        <w:t xml:space="preserve">. </w:t>
      </w:r>
      <w:r w:rsidR="00F12FD7" w:rsidRPr="00077757">
        <w:rPr>
          <w:rFonts w:ascii="Open Sans" w:hAnsi="Open Sans" w:cs="Open Sans"/>
          <w:sz w:val="20"/>
          <w:szCs w:val="20"/>
        </w:rPr>
        <w:t xml:space="preserve"> Yet, with constraint budgets it is hard to prioritize data vis a vis other development </w:t>
      </w:r>
      <w:proofErr w:type="gramStart"/>
      <w:r w:rsidR="00F12FD7" w:rsidRPr="00077757">
        <w:rPr>
          <w:rFonts w:ascii="Open Sans" w:hAnsi="Open Sans" w:cs="Open Sans"/>
          <w:sz w:val="20"/>
          <w:szCs w:val="20"/>
        </w:rPr>
        <w:t>needs</w:t>
      </w:r>
      <w:proofErr w:type="gramEnd"/>
      <w:r w:rsidR="00F12FD7" w:rsidRPr="00077757">
        <w:rPr>
          <w:rFonts w:ascii="Open Sans" w:hAnsi="Open Sans" w:cs="Open Sans"/>
          <w:sz w:val="20"/>
          <w:szCs w:val="20"/>
        </w:rPr>
        <w:t xml:space="preserve">. </w:t>
      </w:r>
    </w:p>
    <w:p w14:paraId="25E7D2C2" w14:textId="2569965A" w:rsidR="00C125D8" w:rsidRPr="005319E6" w:rsidRDefault="00A14AED" w:rsidP="00A44B6B">
      <w:pPr>
        <w:pStyle w:val="Heading3"/>
      </w:pPr>
      <w:r w:rsidRPr="005319E6">
        <w:t>Beyond costs, d</w:t>
      </w:r>
      <w:r w:rsidR="005C7EC1" w:rsidRPr="005319E6">
        <w:t xml:space="preserve">ata </w:t>
      </w:r>
      <w:r w:rsidR="00D05926" w:rsidRPr="005319E6">
        <w:t xml:space="preserve">challenges </w:t>
      </w:r>
      <w:r w:rsidR="00522D6B" w:rsidRPr="005319E6">
        <w:t xml:space="preserve">also lie in the </w:t>
      </w:r>
      <w:r w:rsidR="00B67BD2" w:rsidRPr="005319E6">
        <w:t xml:space="preserve">ability </w:t>
      </w:r>
      <w:r w:rsidRPr="005319E6">
        <w:t>to access the data.</w:t>
      </w:r>
      <w:r w:rsidR="0041448C" w:rsidRPr="005319E6">
        <w:t xml:space="preserve"> </w:t>
      </w:r>
    </w:p>
    <w:p w14:paraId="39EEE8A3" w14:textId="1CB4E43F" w:rsidR="005C7EC1" w:rsidRDefault="0041448C">
      <w:pPr>
        <w:spacing w:line="240" w:lineRule="auto"/>
        <w:jc w:val="both"/>
        <w:rPr>
          <w:rFonts w:ascii="Open Sans" w:hAnsi="Open Sans" w:cs="Open Sans"/>
          <w:sz w:val="20"/>
          <w:szCs w:val="20"/>
        </w:rPr>
      </w:pPr>
      <w:r w:rsidRPr="001F3E92">
        <w:rPr>
          <w:rFonts w:ascii="Open Sans" w:hAnsi="Open Sans" w:cs="Open Sans"/>
          <w:sz w:val="20"/>
          <w:szCs w:val="20"/>
        </w:rPr>
        <w:t>Many countries, both high and lower income, do not share microdata for various reasons.</w:t>
      </w:r>
      <w:r w:rsidR="000170E1" w:rsidRPr="001F3E92">
        <w:rPr>
          <w:rFonts w:ascii="Open Sans" w:hAnsi="Open Sans" w:cs="Open Sans"/>
          <w:sz w:val="20"/>
          <w:szCs w:val="20"/>
        </w:rPr>
        <w:t xml:space="preserve"> </w:t>
      </w:r>
      <w:r w:rsidR="001D5D7B" w:rsidRPr="001F3E92">
        <w:rPr>
          <w:rFonts w:ascii="Open Sans" w:hAnsi="Open Sans" w:cs="Open Sans"/>
          <w:sz w:val="20"/>
          <w:szCs w:val="20"/>
        </w:rPr>
        <w:t>This is for example why MENA does not have g</w:t>
      </w:r>
      <w:r w:rsidR="00A03998" w:rsidRPr="001F3E92">
        <w:rPr>
          <w:rFonts w:ascii="Open Sans" w:hAnsi="Open Sans" w:cs="Open Sans"/>
          <w:sz w:val="20"/>
          <w:szCs w:val="20"/>
        </w:rPr>
        <w:t>o</w:t>
      </w:r>
      <w:r w:rsidR="001D5D7B" w:rsidRPr="001F3E92">
        <w:rPr>
          <w:rFonts w:ascii="Open Sans" w:hAnsi="Open Sans" w:cs="Open Sans"/>
          <w:sz w:val="20"/>
          <w:szCs w:val="20"/>
        </w:rPr>
        <w:t>od data coverage for monitoring poverty</w:t>
      </w:r>
      <w:r w:rsidR="00A03998" w:rsidRPr="001F3E92">
        <w:rPr>
          <w:rFonts w:ascii="Open Sans" w:hAnsi="Open Sans" w:cs="Open Sans"/>
          <w:sz w:val="20"/>
          <w:szCs w:val="20"/>
        </w:rPr>
        <w:t xml:space="preserve"> (</w:t>
      </w:r>
      <w:proofErr w:type="gramStart"/>
      <w:r w:rsidR="00A03998" w:rsidRPr="001F3E92">
        <w:rPr>
          <w:rFonts w:ascii="Open Sans" w:hAnsi="Open Sans" w:cs="Open Sans"/>
          <w:sz w:val="20"/>
          <w:szCs w:val="20"/>
        </w:rPr>
        <w:t>e.g.</w:t>
      </w:r>
      <w:proofErr w:type="gramEnd"/>
      <w:r w:rsidR="00A03998" w:rsidRPr="001F3E92">
        <w:rPr>
          <w:rFonts w:ascii="Open Sans" w:hAnsi="Open Sans" w:cs="Open Sans"/>
          <w:sz w:val="20"/>
          <w:szCs w:val="20"/>
        </w:rPr>
        <w:t xml:space="preserve"> the last household survey in Egypt was collected in 2022 and it is still not publicly available)</w:t>
      </w:r>
      <w:r w:rsidR="001D5D7B" w:rsidRPr="001F3E92">
        <w:rPr>
          <w:rFonts w:ascii="Open Sans" w:hAnsi="Open Sans" w:cs="Open Sans"/>
          <w:sz w:val="20"/>
          <w:szCs w:val="20"/>
        </w:rPr>
        <w:t xml:space="preserve">. </w:t>
      </w:r>
      <w:r w:rsidR="00A03998" w:rsidRPr="001F3E92">
        <w:rPr>
          <w:rFonts w:ascii="Open Sans" w:hAnsi="Open Sans" w:cs="Open Sans"/>
          <w:sz w:val="20"/>
          <w:szCs w:val="20"/>
        </w:rPr>
        <w:t>This is not an issue exclusive to household surveys. For example, t</w:t>
      </w:r>
      <w:r w:rsidR="005C7EC1" w:rsidRPr="001F3E92">
        <w:rPr>
          <w:rFonts w:ascii="Open Sans" w:hAnsi="Open Sans" w:cs="Open Sans"/>
          <w:sz w:val="20"/>
          <w:szCs w:val="20"/>
        </w:rPr>
        <w:t>he</w:t>
      </w:r>
      <w:r w:rsidR="005C7EC1">
        <w:rPr>
          <w:rFonts w:ascii="Open Sans" w:hAnsi="Open Sans" w:cs="Open Sans"/>
          <w:sz w:val="20"/>
          <w:szCs w:val="20"/>
        </w:rPr>
        <w:t xml:space="preserve"> International Energy Agency (IEA) has </w:t>
      </w:r>
      <w:r w:rsidR="00A03998" w:rsidRPr="001F3E92">
        <w:rPr>
          <w:rFonts w:ascii="Open Sans" w:hAnsi="Open Sans" w:cs="Open Sans"/>
          <w:sz w:val="20"/>
          <w:szCs w:val="20"/>
        </w:rPr>
        <w:t>valuable</w:t>
      </w:r>
      <w:r w:rsidR="005C7EC1">
        <w:rPr>
          <w:rFonts w:ascii="Open Sans" w:hAnsi="Open Sans" w:cs="Open Sans"/>
          <w:sz w:val="20"/>
          <w:szCs w:val="20"/>
        </w:rPr>
        <w:t xml:space="preserve"> energy data behind paywalls, limiting </w:t>
      </w:r>
      <w:r w:rsidR="00BA1226" w:rsidRPr="001F3E92">
        <w:rPr>
          <w:rFonts w:ascii="Open Sans" w:hAnsi="Open Sans" w:cs="Open Sans"/>
          <w:sz w:val="20"/>
          <w:szCs w:val="20"/>
        </w:rPr>
        <w:t>its use for</w:t>
      </w:r>
      <w:r w:rsidR="005C7EC1">
        <w:rPr>
          <w:rFonts w:ascii="Open Sans" w:hAnsi="Open Sans" w:cs="Open Sans"/>
          <w:sz w:val="20"/>
          <w:szCs w:val="20"/>
        </w:rPr>
        <w:t xml:space="preserve"> climate research. </w:t>
      </w:r>
      <w:r w:rsidR="005C7EC1" w:rsidRPr="001F3E92">
        <w:rPr>
          <w:rFonts w:ascii="Open Sans" w:hAnsi="Open Sans" w:cs="Open Sans"/>
          <w:sz w:val="20"/>
          <w:szCs w:val="20"/>
        </w:rPr>
        <w:t xml:space="preserve">More effective data governance </w:t>
      </w:r>
      <w:r w:rsidR="00BA1226" w:rsidRPr="001F3E92">
        <w:rPr>
          <w:rFonts w:ascii="Open Sans" w:hAnsi="Open Sans" w:cs="Open Sans"/>
          <w:sz w:val="20"/>
          <w:szCs w:val="20"/>
        </w:rPr>
        <w:t xml:space="preserve">is key in creating </w:t>
      </w:r>
      <w:r w:rsidR="00BA1226" w:rsidRPr="001F3E92">
        <w:rPr>
          <w:rFonts w:ascii="Open Sans" w:hAnsi="Open Sans" w:cs="Open Sans"/>
          <w:sz w:val="20"/>
          <w:szCs w:val="20"/>
        </w:rPr>
        <w:lastRenderedPageBreak/>
        <w:t xml:space="preserve">an environment where data can be produced, used, re-used, and shared safely, while ensuring that the benefits of data are shared equitably </w:t>
      </w:r>
      <w:r w:rsidR="00BA1226" w:rsidRPr="001F3E92">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{"citationID":"4NDGPtEr","properties":{"formattedCitation":"(World Bank, 2021)","plainCitation":"(World Bank, 2021)","noteIndex":0},"citationItems":[{"id":1621,"uris":["http://zotero.org/groups/5125234/items/FK9AFLST"],"itemData":{"id":1621,"type":"report","publisher":"World Bank","title":"World Development Report 2021: Data for better lives","URL":"https://www.worldbank.org/en/publication/wdr2021","author":[{"literal":"World Bank"}],"accessed":{"date-parts":[["2024",6,5]]},"issued":{"date-parts":[["2021"]]}},"label":"page"}],"schema":"https://github.com/citation-style-language/schema/raw/master/csl-citation.json"} </w:instrText>
      </w:r>
      <w:r w:rsidR="00BA1226" w:rsidRPr="001F3E92">
        <w:rPr>
          <w:rFonts w:ascii="Open Sans" w:hAnsi="Open Sans" w:cs="Open Sans"/>
          <w:sz w:val="20"/>
          <w:szCs w:val="20"/>
        </w:rPr>
        <w:fldChar w:fldCharType="separate"/>
      </w:r>
      <w:r w:rsidR="00BA1226" w:rsidRPr="001F3E92">
        <w:rPr>
          <w:rFonts w:ascii="Open Sans" w:hAnsi="Open Sans" w:cs="Open Sans"/>
          <w:sz w:val="20"/>
        </w:rPr>
        <w:t>(World Bank, 2021)</w:t>
      </w:r>
      <w:r w:rsidR="00BA1226" w:rsidRPr="001F3E92">
        <w:rPr>
          <w:rFonts w:ascii="Open Sans" w:hAnsi="Open Sans" w:cs="Open Sans"/>
          <w:sz w:val="20"/>
          <w:szCs w:val="20"/>
        </w:rPr>
        <w:fldChar w:fldCharType="end"/>
      </w:r>
      <w:r w:rsidR="00BA1226" w:rsidRPr="001F3E92">
        <w:rPr>
          <w:rFonts w:ascii="Open Sans" w:hAnsi="Open Sans" w:cs="Open Sans"/>
          <w:sz w:val="20"/>
          <w:szCs w:val="20"/>
        </w:rPr>
        <w:t>.</w:t>
      </w:r>
    </w:p>
    <w:p w14:paraId="6462DDF5" w14:textId="428A1558" w:rsidR="00D37F06" w:rsidRDefault="00D37F06" w:rsidP="00D37F06">
      <w:pPr>
        <w:spacing w:line="240" w:lineRule="auto"/>
        <w:jc w:val="both"/>
        <w:rPr>
          <w:rFonts w:ascii="Open Sans" w:hAnsi="Open Sans" w:cs="Open Sans"/>
          <w:sz w:val="20"/>
          <w:szCs w:val="20"/>
        </w:rPr>
      </w:pPr>
      <w:r w:rsidRPr="001F3E92">
        <w:rPr>
          <w:rFonts w:ascii="Open Sans" w:hAnsi="Open Sans" w:cs="Open Sans"/>
          <w:sz w:val="20"/>
          <w:szCs w:val="20"/>
        </w:rPr>
        <w:t xml:space="preserve">The Atkinson Commission Report on Global Poverty recommends greater financial investments in data and data systems, as well as international coordination and accountability for data </w:t>
      </w:r>
      <w:r w:rsidRPr="001F3E92">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{"citationID":"y9F6o917","properties":{"formattedCitation":"(World Bank, 2017)","plainCitation":"(World Bank, 2017)","noteIndex":0},"citationItems":[{"id":983,"uris":["http://zotero.org/groups/5125234/items/6PLM5K4B"],"itemData":{"id":983,"type":"book","publisher":"Washington, DC: World Bank","title":"Monitoring Global Poverty: Report of the Commission on Global Poverty","author":[{"family":"World Bank","given":""}],"issued":{"date-parts":[["2017"]]}}}],"schema":"https://github.com/citation-style-language/schema/raw/master/csl-citation.json"} </w:instrText>
      </w:r>
      <w:r w:rsidRPr="001F3E92">
        <w:rPr>
          <w:rFonts w:ascii="Open Sans" w:hAnsi="Open Sans" w:cs="Open Sans"/>
          <w:sz w:val="20"/>
          <w:szCs w:val="20"/>
        </w:rPr>
        <w:fldChar w:fldCharType="separate"/>
      </w:r>
      <w:r w:rsidRPr="001F3E92">
        <w:rPr>
          <w:rFonts w:ascii="Open Sans" w:hAnsi="Open Sans" w:cs="Open Sans"/>
          <w:sz w:val="20"/>
          <w:szCs w:val="20"/>
        </w:rPr>
        <w:t>(World Bank, 2017)</w:t>
      </w:r>
      <w:r w:rsidRPr="001F3E92">
        <w:rPr>
          <w:rFonts w:ascii="Open Sans" w:hAnsi="Open Sans" w:cs="Open Sans"/>
          <w:sz w:val="20"/>
          <w:szCs w:val="20"/>
        </w:rPr>
        <w:fldChar w:fldCharType="end"/>
      </w:r>
      <w:r w:rsidRPr="001F3E92">
        <w:rPr>
          <w:rFonts w:ascii="Open Sans" w:hAnsi="Open Sans" w:cs="Open Sans"/>
          <w:sz w:val="20"/>
          <w:szCs w:val="20"/>
        </w:rPr>
        <w:t xml:space="preserve">. Within the wide range of competing policy interests, building capacity in national statistical systems should be prioritized more than ever before. </w:t>
      </w:r>
    </w:p>
    <w:p w14:paraId="6FF376B1" w14:textId="77777777" w:rsidR="00EC291A" w:rsidRDefault="00EC291A" w:rsidP="00D37F06">
      <w:pPr>
        <w:spacing w:line="240" w:lineRule="auto"/>
        <w:jc w:val="both"/>
        <w:rPr>
          <w:rFonts w:ascii="Open Sans" w:hAnsi="Open Sans" w:cs="Open Sans"/>
          <w:sz w:val="20"/>
          <w:szCs w:val="20"/>
        </w:rPr>
      </w:pPr>
    </w:p>
    <w:p w14:paraId="6CD1B101" w14:textId="669C6C81" w:rsidR="00777306" w:rsidRPr="00845917" w:rsidRDefault="00C125D8" w:rsidP="00845917">
      <w:pPr>
        <w:pStyle w:val="Heading2"/>
        <w:spacing w:before="160" w:after="120" w:line="240" w:lineRule="auto"/>
        <w:ind w:left="576" w:hanging="576"/>
        <w:jc w:val="both"/>
        <w:rPr>
          <w:rFonts w:ascii="Open Sans" w:hAnsi="Open Sans"/>
          <w:sz w:val="20"/>
        </w:rPr>
      </w:pPr>
      <w:r w:rsidRPr="00845917">
        <w:rPr>
          <w:rFonts w:ascii="Open Sans" w:hAnsi="Open Sans"/>
          <w:sz w:val="20"/>
        </w:rPr>
        <w:t xml:space="preserve">One critical area of focus </w:t>
      </w:r>
      <w:r w:rsidR="000931A5" w:rsidRPr="00845917">
        <w:rPr>
          <w:rFonts w:ascii="Open Sans" w:hAnsi="Open Sans"/>
          <w:sz w:val="20"/>
        </w:rPr>
        <w:t>going forward</w:t>
      </w:r>
      <w:r w:rsidRPr="00845917">
        <w:rPr>
          <w:rFonts w:ascii="Open Sans" w:hAnsi="Open Sans"/>
          <w:sz w:val="20"/>
        </w:rPr>
        <w:t xml:space="preserve"> is</w:t>
      </w:r>
      <w:r w:rsidR="000931A5" w:rsidRPr="00845917">
        <w:rPr>
          <w:rFonts w:ascii="Open Sans" w:hAnsi="Open Sans"/>
          <w:sz w:val="20"/>
        </w:rPr>
        <w:t xml:space="preserve"> further</w:t>
      </w:r>
      <w:r w:rsidRPr="00845917">
        <w:rPr>
          <w:rFonts w:ascii="Open Sans" w:hAnsi="Open Sans"/>
          <w:sz w:val="20"/>
        </w:rPr>
        <w:t xml:space="preserve"> data integration, where linking various big data sources can enrich survey </w:t>
      </w:r>
      <w:proofErr w:type="gramStart"/>
      <w:r w:rsidRPr="00845917">
        <w:rPr>
          <w:rFonts w:ascii="Open Sans" w:hAnsi="Open Sans"/>
          <w:sz w:val="20"/>
        </w:rPr>
        <w:t>data</w:t>
      </w:r>
      <w:proofErr w:type="gramEnd"/>
      <w:r w:rsidRPr="00845917">
        <w:rPr>
          <w:rFonts w:ascii="Open Sans" w:hAnsi="Open Sans"/>
          <w:sz w:val="20"/>
        </w:rPr>
        <w:t xml:space="preserve"> </w:t>
      </w:r>
    </w:p>
    <w:p w14:paraId="09F4AA99" w14:textId="77777777" w:rsidR="000931A5" w:rsidRPr="000931A5" w:rsidRDefault="000931A5" w:rsidP="000931A5"/>
    <w:p w14:paraId="2DE4C910" w14:textId="7E8704A3" w:rsidR="00C125D8" w:rsidRPr="00C125D8" w:rsidRDefault="00C125D8" w:rsidP="00C125D8">
      <w:pPr>
        <w:spacing w:line="240" w:lineRule="auto"/>
        <w:jc w:val="both"/>
        <w:rPr>
          <w:rFonts w:ascii="Open Sans" w:hAnsi="Open Sans" w:cs="Open Sans"/>
          <w:sz w:val="20"/>
          <w:szCs w:val="20"/>
        </w:rPr>
      </w:pPr>
      <w:r w:rsidRPr="00C125D8">
        <w:rPr>
          <w:rFonts w:ascii="Open Sans" w:hAnsi="Open Sans" w:cs="Open Sans"/>
          <w:sz w:val="20"/>
          <w:szCs w:val="20"/>
        </w:rPr>
        <w:t>Enhancing the interoperability and integration of household surveys with censuses, geospatial data, administrative records, and non-traditional sources such as earth observation</w:t>
      </w:r>
      <w:r w:rsidR="00830911">
        <w:rPr>
          <w:rFonts w:ascii="Open Sans" w:hAnsi="Open Sans" w:cs="Open Sans"/>
          <w:sz w:val="20"/>
          <w:szCs w:val="20"/>
        </w:rPr>
        <w:t xml:space="preserve"> and</w:t>
      </w:r>
      <w:r w:rsidRPr="00C125D8">
        <w:rPr>
          <w:rFonts w:ascii="Open Sans" w:hAnsi="Open Sans" w:cs="Open Sans"/>
          <w:sz w:val="20"/>
          <w:szCs w:val="20"/>
        </w:rPr>
        <w:t xml:space="preserve"> call detail records, can increase the cost-effectiveness and relevance of survey data production. This approach can achieve higher levels of accuracy and granularity in both spatial and temporal resolution, which is only possible through data integration. </w:t>
      </w:r>
      <w:r w:rsidR="00864ADD">
        <w:rPr>
          <w:rFonts w:ascii="Open Sans" w:hAnsi="Open Sans" w:cs="Open Sans"/>
          <w:sz w:val="20"/>
          <w:szCs w:val="20"/>
        </w:rPr>
        <w:t xml:space="preserve">One </w:t>
      </w:r>
      <w:r w:rsidR="00CB068A">
        <w:rPr>
          <w:rFonts w:ascii="Open Sans" w:hAnsi="Open Sans" w:cs="Open Sans"/>
          <w:sz w:val="20"/>
          <w:szCs w:val="20"/>
        </w:rPr>
        <w:t xml:space="preserve">successful </w:t>
      </w:r>
      <w:r w:rsidR="001351EA">
        <w:rPr>
          <w:rFonts w:ascii="Open Sans" w:hAnsi="Open Sans" w:cs="Open Sans"/>
          <w:sz w:val="20"/>
          <w:szCs w:val="20"/>
        </w:rPr>
        <w:t>application is</w:t>
      </w:r>
      <w:r w:rsidR="00952A75">
        <w:rPr>
          <w:rFonts w:ascii="Open Sans" w:hAnsi="Open Sans" w:cs="Open Sans"/>
          <w:sz w:val="20"/>
          <w:szCs w:val="20"/>
        </w:rPr>
        <w:t xml:space="preserve"> the linkage of survey data </w:t>
      </w:r>
      <w:r w:rsidR="0032252B">
        <w:rPr>
          <w:rFonts w:ascii="Open Sans" w:hAnsi="Open Sans" w:cs="Open Sans"/>
          <w:sz w:val="20"/>
          <w:szCs w:val="20"/>
        </w:rPr>
        <w:t>and</w:t>
      </w:r>
      <w:r w:rsidR="00952A75">
        <w:rPr>
          <w:rFonts w:ascii="Open Sans" w:hAnsi="Open Sans" w:cs="Open Sans"/>
          <w:sz w:val="20"/>
          <w:szCs w:val="20"/>
        </w:rPr>
        <w:t xml:space="preserve"> census data </w:t>
      </w:r>
      <w:r w:rsidR="0032252B">
        <w:rPr>
          <w:rFonts w:ascii="Open Sans" w:hAnsi="Open Sans" w:cs="Open Sans"/>
          <w:sz w:val="20"/>
          <w:szCs w:val="20"/>
        </w:rPr>
        <w:t xml:space="preserve">with geospatial </w:t>
      </w:r>
      <w:r w:rsidR="00FB4A19">
        <w:rPr>
          <w:rFonts w:ascii="Open Sans" w:hAnsi="Open Sans" w:cs="Open Sans"/>
          <w:sz w:val="20"/>
          <w:szCs w:val="20"/>
        </w:rPr>
        <w:t>data</w:t>
      </w:r>
      <w:r w:rsidR="0032252B">
        <w:rPr>
          <w:rFonts w:ascii="Open Sans" w:hAnsi="Open Sans" w:cs="Open Sans"/>
          <w:sz w:val="20"/>
          <w:szCs w:val="20"/>
        </w:rPr>
        <w:t xml:space="preserve"> </w:t>
      </w:r>
      <w:r w:rsidR="00952A75">
        <w:rPr>
          <w:rFonts w:ascii="Open Sans" w:hAnsi="Open Sans" w:cs="Open Sans"/>
          <w:sz w:val="20"/>
          <w:szCs w:val="20"/>
        </w:rPr>
        <w:t>for</w:t>
      </w:r>
      <w:r w:rsidR="001351EA">
        <w:rPr>
          <w:rFonts w:ascii="Open Sans" w:hAnsi="Open Sans" w:cs="Open Sans"/>
          <w:sz w:val="20"/>
          <w:szCs w:val="20"/>
        </w:rPr>
        <w:t xml:space="preserve"> poverty mapping</w:t>
      </w:r>
      <w:r w:rsidR="008841EC">
        <w:rPr>
          <w:rFonts w:ascii="Open Sans" w:hAnsi="Open Sans" w:cs="Open Sans"/>
          <w:sz w:val="20"/>
          <w:szCs w:val="20"/>
        </w:rPr>
        <w:t xml:space="preserve"> </w:t>
      </w:r>
      <w:r w:rsidR="008841EC">
        <w:rPr>
          <w:rFonts w:ascii="Open Sans" w:hAnsi="Open Sans" w:cs="Open Sans"/>
          <w:sz w:val="20"/>
          <w:szCs w:val="20"/>
        </w:rPr>
        <w:fldChar w:fldCharType="begin"/>
      </w:r>
      <w:r w:rsidR="000456FF">
        <w:rPr>
          <w:rFonts w:ascii="Open Sans" w:hAnsi="Open Sans" w:cs="Open Sans"/>
          <w:sz w:val="20"/>
          <w:szCs w:val="20"/>
        </w:rPr>
        <w:instrText xml:space="preserve"> ADDIN ZOTERO_ITEM CSL_CITATION {"citationID":"c1PGvifX","properties":{"formattedCitation":"(Corral et al., 2023, 2022)","plainCitation":"(Corral et al., 2023, 2022)","noteIndex":0},"citationItems":[{"id":1814,"uris":["http://zotero.org/groups/5125234/items/4VLKNHBN"],"itemData":{"id":1814,"type":"article-journal","container-title":"World Bank Policy Research Working Paper","title":"Poverty mapping in the age of machine learning","volume":"No. 10429","author":[{"family":"Corral","given":"Paul"},{"family":"Henderson","given":"Heath"},{"family":"Segovia","given":"Sandra"}],"issued":{"date-parts":[["2023"]]}}},{"id":1813,"uris":["http://zotero.org/groups/5125234/items/G4GQZA88"],"itemData":{"id":1813,"type":"article-journal","container-title":"Washington, DC: World Bank","note":"publisher: Washington, DC: World Bank","title":"Guidelines to small area estimation for poverty mapping","author":[{"family":"Corral","given":"Paul"},{"family":"Molina","given":"Isabel"},{"family":"Cojocaru","given":"Alexandru"},{"family":"Segovia","given":"Sandra"}],"issued":{"date-parts":[["2022"]]}}}],"schema":"https://github.com/citation-style-language/schema/raw/master/csl-citation.json"} </w:instrText>
      </w:r>
      <w:r w:rsidR="008841EC">
        <w:rPr>
          <w:rFonts w:ascii="Open Sans" w:hAnsi="Open Sans" w:cs="Open Sans"/>
          <w:sz w:val="20"/>
          <w:szCs w:val="20"/>
        </w:rPr>
        <w:fldChar w:fldCharType="separate"/>
      </w:r>
      <w:r w:rsidR="008841EC" w:rsidRPr="008841EC">
        <w:rPr>
          <w:rFonts w:ascii="Open Sans" w:hAnsi="Open Sans" w:cs="Open Sans"/>
          <w:sz w:val="20"/>
        </w:rPr>
        <w:t>(Corral et al., 2023, 2022)</w:t>
      </w:r>
      <w:r w:rsidR="008841EC">
        <w:rPr>
          <w:rFonts w:ascii="Open Sans" w:hAnsi="Open Sans" w:cs="Open Sans"/>
          <w:sz w:val="20"/>
          <w:szCs w:val="20"/>
        </w:rPr>
        <w:fldChar w:fldCharType="end"/>
      </w:r>
      <w:r w:rsidRPr="00C125D8">
        <w:rPr>
          <w:rFonts w:ascii="Open Sans" w:hAnsi="Open Sans" w:cs="Open Sans"/>
          <w:sz w:val="20"/>
          <w:szCs w:val="20"/>
        </w:rPr>
        <w:t>.</w:t>
      </w:r>
      <w:r w:rsidR="00C70A76" w:rsidRPr="005319E6">
        <w:rPr>
          <w:rStyle w:val="FootnoteReference"/>
        </w:rPr>
        <w:footnoteReference w:id="5"/>
      </w:r>
      <w:r w:rsidR="00301B3F">
        <w:rPr>
          <w:rFonts w:ascii="Open Sans" w:hAnsi="Open Sans" w:cs="Open Sans"/>
          <w:sz w:val="20"/>
          <w:szCs w:val="20"/>
        </w:rPr>
        <w:t xml:space="preserve"> </w:t>
      </w:r>
    </w:p>
    <w:p w14:paraId="3CBA763F" w14:textId="205F9DBF" w:rsidR="00180D8B" w:rsidRPr="00C125D8" w:rsidRDefault="003C56C8" w:rsidP="00180D8B">
      <w:pPr>
        <w:spacing w:line="240" w:lineRule="auto"/>
        <w:jc w:val="both"/>
        <w:rPr>
          <w:rFonts w:ascii="Open Sans" w:hAnsi="Open Sans" w:cs="Open Sans"/>
          <w:sz w:val="20"/>
          <w:szCs w:val="20"/>
        </w:rPr>
      </w:pPr>
      <w:r>
        <w:rPr>
          <w:rFonts w:ascii="Open Sans" w:hAnsi="Open Sans" w:cs="Open Sans"/>
          <w:sz w:val="20"/>
          <w:szCs w:val="20"/>
        </w:rPr>
        <w:t>G</w:t>
      </w:r>
      <w:r w:rsidR="006F3E4F">
        <w:rPr>
          <w:rFonts w:ascii="Open Sans" w:hAnsi="Open Sans" w:cs="Open Sans"/>
          <w:sz w:val="20"/>
          <w:szCs w:val="20"/>
        </w:rPr>
        <w:t>eoreferencing</w:t>
      </w:r>
      <w:r>
        <w:rPr>
          <w:rFonts w:ascii="Open Sans" w:hAnsi="Open Sans" w:cs="Open Sans"/>
          <w:sz w:val="20"/>
          <w:szCs w:val="20"/>
        </w:rPr>
        <w:t xml:space="preserve"> is key for </w:t>
      </w:r>
      <w:r w:rsidR="0090022D">
        <w:rPr>
          <w:rFonts w:ascii="Open Sans" w:hAnsi="Open Sans" w:cs="Open Sans"/>
          <w:sz w:val="20"/>
          <w:szCs w:val="20"/>
        </w:rPr>
        <w:t>integration</w:t>
      </w:r>
      <w:r w:rsidR="00CF2B12">
        <w:rPr>
          <w:rFonts w:ascii="Open Sans" w:hAnsi="Open Sans" w:cs="Open Sans"/>
          <w:sz w:val="20"/>
          <w:szCs w:val="20"/>
        </w:rPr>
        <w:t xml:space="preserve"> of data with spatial features</w:t>
      </w:r>
      <w:r w:rsidR="006F3E4F">
        <w:rPr>
          <w:rFonts w:ascii="Open Sans" w:hAnsi="Open Sans" w:cs="Open Sans"/>
          <w:sz w:val="20"/>
          <w:szCs w:val="20"/>
        </w:rPr>
        <w:t xml:space="preserve">. </w:t>
      </w:r>
      <w:r w:rsidR="00C125D8" w:rsidRPr="00C125D8">
        <w:rPr>
          <w:rFonts w:ascii="Open Sans" w:hAnsi="Open Sans" w:cs="Open Sans"/>
          <w:sz w:val="20"/>
          <w:szCs w:val="20"/>
        </w:rPr>
        <w:t xml:space="preserve">Georeferenced survey data can validate and calibrate machine learning models that combine this data with publicly available satellite imagery and processed geospatial data to derive precise estimates of poverty, asset wealth, and agricultural outcomes at high spatial resolution. This integration allows for more detailed and accurate analyses, which are crucial for </w:t>
      </w:r>
      <w:r w:rsidR="006F3E4F" w:rsidRPr="00C125D8">
        <w:rPr>
          <w:rFonts w:ascii="Open Sans" w:hAnsi="Open Sans" w:cs="Open Sans"/>
          <w:sz w:val="20"/>
          <w:szCs w:val="20"/>
        </w:rPr>
        <w:t>policymaking</w:t>
      </w:r>
      <w:r w:rsidR="00C125D8" w:rsidRPr="00C125D8">
        <w:rPr>
          <w:rFonts w:ascii="Open Sans" w:hAnsi="Open Sans" w:cs="Open Sans"/>
          <w:sz w:val="20"/>
          <w:szCs w:val="20"/>
        </w:rPr>
        <w:t xml:space="preserve"> and resource allocation.</w:t>
      </w:r>
      <w:r w:rsidR="00180D8B" w:rsidRPr="00180D8B">
        <w:rPr>
          <w:rFonts w:ascii="Open Sans" w:hAnsi="Open Sans" w:cs="Open Sans"/>
          <w:sz w:val="20"/>
          <w:szCs w:val="20"/>
        </w:rPr>
        <w:t xml:space="preserve"> </w:t>
      </w:r>
      <w:r w:rsidR="00180D8B">
        <w:rPr>
          <w:rFonts w:ascii="Open Sans" w:hAnsi="Open Sans" w:cs="Open Sans"/>
          <w:sz w:val="20"/>
          <w:szCs w:val="20"/>
        </w:rPr>
        <w:t>Georefere</w:t>
      </w:r>
      <w:r w:rsidR="0001002E">
        <w:rPr>
          <w:rFonts w:ascii="Open Sans" w:hAnsi="Open Sans" w:cs="Open Sans"/>
          <w:sz w:val="20"/>
          <w:szCs w:val="20"/>
        </w:rPr>
        <w:t>ncing</w:t>
      </w:r>
      <w:r w:rsidR="00180D8B">
        <w:rPr>
          <w:rFonts w:ascii="Open Sans" w:hAnsi="Open Sans" w:cs="Open Sans"/>
          <w:sz w:val="20"/>
          <w:szCs w:val="20"/>
        </w:rPr>
        <w:t xml:space="preserve"> is key for measuring vulnerability to climate hazards where hazard information needs to be linked with household surveys to identify populations at risk. </w:t>
      </w:r>
      <w:r w:rsidR="000A6558">
        <w:rPr>
          <w:rFonts w:ascii="Open Sans" w:hAnsi="Open Sans" w:cs="Open Sans"/>
          <w:sz w:val="20"/>
          <w:szCs w:val="20"/>
        </w:rPr>
        <w:t>We discuss this in mo</w:t>
      </w:r>
      <w:r w:rsidR="005C3B03">
        <w:rPr>
          <w:rFonts w:ascii="Open Sans" w:hAnsi="Open Sans" w:cs="Open Sans"/>
          <w:sz w:val="20"/>
          <w:szCs w:val="20"/>
        </w:rPr>
        <w:t>r</w:t>
      </w:r>
      <w:r w:rsidR="000A6558">
        <w:rPr>
          <w:rFonts w:ascii="Open Sans" w:hAnsi="Open Sans" w:cs="Open Sans"/>
          <w:sz w:val="20"/>
          <w:szCs w:val="20"/>
        </w:rPr>
        <w:t>e detail in the next subsection.</w:t>
      </w:r>
    </w:p>
    <w:p w14:paraId="289E7558" w14:textId="32A51556" w:rsidR="00877CC3" w:rsidRPr="00877CC3" w:rsidRDefault="00877CC3" w:rsidP="00877CC3">
      <w:pPr>
        <w:spacing w:line="240" w:lineRule="auto"/>
        <w:jc w:val="both"/>
        <w:rPr>
          <w:rFonts w:ascii="Open Sans" w:hAnsi="Open Sans" w:cs="Open Sans"/>
          <w:sz w:val="20"/>
          <w:szCs w:val="20"/>
        </w:rPr>
      </w:pPr>
      <w:r w:rsidRPr="00877CC3">
        <w:rPr>
          <w:rFonts w:ascii="Open Sans" w:hAnsi="Open Sans" w:cs="Open Sans"/>
          <w:sz w:val="20"/>
          <w:szCs w:val="20"/>
        </w:rPr>
        <w:t xml:space="preserve">Another element related to data integration is the inclusion of common variables across core surveys, which enhances the ability to bridge information between different surveys effectively. </w:t>
      </w:r>
      <w:r w:rsidR="007F5B8C">
        <w:rPr>
          <w:rFonts w:ascii="Open Sans" w:hAnsi="Open Sans" w:cs="Open Sans"/>
          <w:sz w:val="20"/>
          <w:szCs w:val="20"/>
        </w:rPr>
        <w:t>For example, o</w:t>
      </w:r>
      <w:r w:rsidR="005F190B">
        <w:rPr>
          <w:rFonts w:ascii="Open Sans" w:hAnsi="Open Sans" w:cs="Open Sans"/>
          <w:sz w:val="20"/>
          <w:szCs w:val="20"/>
        </w:rPr>
        <w:t>ne of the challenges of the current multidimensional poverty measure</w:t>
      </w:r>
      <w:r w:rsidR="00B62292">
        <w:rPr>
          <w:rFonts w:ascii="Open Sans" w:hAnsi="Open Sans" w:cs="Open Sans"/>
          <w:sz w:val="20"/>
          <w:szCs w:val="20"/>
        </w:rPr>
        <w:t xml:space="preserve"> (MPM)</w:t>
      </w:r>
      <w:r w:rsidR="005F190B">
        <w:rPr>
          <w:rFonts w:ascii="Open Sans" w:hAnsi="Open Sans" w:cs="Open Sans"/>
          <w:sz w:val="20"/>
          <w:szCs w:val="20"/>
        </w:rPr>
        <w:t xml:space="preserve"> is precisely the difficulty in combining poverty data with non-monetary </w:t>
      </w:r>
      <w:r w:rsidR="00F413EF">
        <w:rPr>
          <w:rFonts w:ascii="Open Sans" w:hAnsi="Open Sans" w:cs="Open Sans"/>
          <w:sz w:val="20"/>
          <w:szCs w:val="20"/>
        </w:rPr>
        <w:t xml:space="preserve">dimensions of well-being that are collected in other surveys, such as nutrition data. </w:t>
      </w:r>
      <w:r w:rsidR="0018655E">
        <w:rPr>
          <w:rFonts w:ascii="Open Sans" w:hAnsi="Open Sans" w:cs="Open Sans"/>
          <w:sz w:val="20"/>
          <w:szCs w:val="20"/>
        </w:rPr>
        <w:t xml:space="preserve">The livable planet </w:t>
      </w:r>
      <w:r w:rsidR="000456BD">
        <w:rPr>
          <w:rFonts w:ascii="Open Sans" w:hAnsi="Open Sans" w:cs="Open Sans"/>
          <w:sz w:val="20"/>
          <w:szCs w:val="20"/>
        </w:rPr>
        <w:t xml:space="preserve">indicator </w:t>
      </w:r>
      <w:r w:rsidR="0018655E">
        <w:rPr>
          <w:rFonts w:ascii="Open Sans" w:hAnsi="Open Sans" w:cs="Open Sans"/>
          <w:sz w:val="20"/>
          <w:szCs w:val="20"/>
        </w:rPr>
        <w:t>on the p</w:t>
      </w:r>
      <w:r w:rsidR="0018655E" w:rsidRPr="001D1CEF">
        <w:rPr>
          <w:rFonts w:ascii="Open Sans" w:eastAsia="Times New Roman" w:hAnsi="Open Sans" w:cs="Open Sans"/>
          <w:color w:val="000000"/>
          <w:kern w:val="0"/>
          <w:sz w:val="20"/>
          <w:szCs w:val="20"/>
          <w14:ligatures w14:val="none"/>
        </w:rPr>
        <w:t>ercentage of people with access to basic drinking water, sanitation services, or hygiene globally</w:t>
      </w:r>
      <w:r w:rsidR="00B62292">
        <w:rPr>
          <w:rFonts w:ascii="Open Sans" w:eastAsia="Times New Roman" w:hAnsi="Open Sans" w:cs="Open Sans"/>
          <w:color w:val="000000"/>
          <w:kern w:val="0"/>
          <w:sz w:val="20"/>
          <w:szCs w:val="20"/>
          <w14:ligatures w14:val="none"/>
        </w:rPr>
        <w:t xml:space="preserve">, is not comparable with the indicator of water and sanitation in the MPM due to differences in ways these variables are defined across surveys. </w:t>
      </w:r>
      <w:r w:rsidR="00873B9C" w:rsidRPr="00877CC3">
        <w:rPr>
          <w:rFonts w:ascii="Open Sans" w:hAnsi="Open Sans" w:cs="Open Sans"/>
          <w:sz w:val="20"/>
          <w:szCs w:val="20"/>
        </w:rPr>
        <w:t>By standardizing certain key variables, such as demographic information (e.g., age, gender, income), geographic location, and basic health indicators, it becomes easier to link and compare data from various surveys. This harmonization allows for more comprehensive analyses and facilitates the combination of datasets to generate richer, more detailed insights.</w:t>
      </w:r>
      <w:r w:rsidR="00226F64">
        <w:rPr>
          <w:rFonts w:ascii="Open Sans" w:hAnsi="Open Sans" w:cs="Open Sans"/>
          <w:sz w:val="20"/>
          <w:szCs w:val="20"/>
        </w:rPr>
        <w:t xml:space="preserve"> </w:t>
      </w:r>
    </w:p>
    <w:p w14:paraId="3D2279F0" w14:textId="629D79E2" w:rsidR="006B7E0D" w:rsidRDefault="00877CC3" w:rsidP="00877CC3">
      <w:pPr>
        <w:spacing w:line="240" w:lineRule="auto"/>
        <w:jc w:val="both"/>
        <w:rPr>
          <w:rFonts w:ascii="Open Sans" w:hAnsi="Open Sans" w:cs="Open Sans"/>
          <w:sz w:val="20"/>
          <w:szCs w:val="20"/>
        </w:rPr>
      </w:pPr>
      <w:r w:rsidRPr="00877CC3">
        <w:rPr>
          <w:rFonts w:ascii="Open Sans" w:hAnsi="Open Sans" w:cs="Open Sans"/>
          <w:sz w:val="20"/>
          <w:szCs w:val="20"/>
        </w:rPr>
        <w:t>Furthermore, including common variables facilitates the use of advanced analytical techniques, such as machine learning and AI, to identify patterns and correlations across larger, more diverse datasets. This can lead to more accurate predictive models and better-informed decision-making.</w:t>
      </w:r>
    </w:p>
    <w:p w14:paraId="08128A01" w14:textId="0A10F3FA" w:rsidR="001C77AD" w:rsidRPr="00845917" w:rsidRDefault="00FD2AE8" w:rsidP="00845917">
      <w:pPr>
        <w:pStyle w:val="Heading2"/>
        <w:spacing w:before="160" w:after="120" w:line="240" w:lineRule="auto"/>
        <w:ind w:left="576" w:hanging="576"/>
        <w:jc w:val="both"/>
        <w:rPr>
          <w:rFonts w:ascii="Open Sans" w:hAnsi="Open Sans"/>
          <w:sz w:val="20"/>
        </w:rPr>
      </w:pPr>
      <w:r w:rsidRPr="00845917">
        <w:rPr>
          <w:rFonts w:ascii="Open Sans" w:hAnsi="Open Sans"/>
          <w:sz w:val="20"/>
        </w:rPr>
        <w:lastRenderedPageBreak/>
        <w:t xml:space="preserve">Modernizing </w:t>
      </w:r>
      <w:r w:rsidR="00845917">
        <w:rPr>
          <w:rFonts w:ascii="Open Sans" w:hAnsi="Open Sans"/>
          <w:sz w:val="20"/>
        </w:rPr>
        <w:t xml:space="preserve">household </w:t>
      </w:r>
      <w:r w:rsidR="000E6265" w:rsidRPr="00845917">
        <w:rPr>
          <w:rFonts w:ascii="Open Sans" w:hAnsi="Open Sans"/>
          <w:sz w:val="20"/>
        </w:rPr>
        <w:t xml:space="preserve">surveys is also </w:t>
      </w:r>
      <w:r w:rsidR="002D12FB" w:rsidRPr="00845917">
        <w:rPr>
          <w:rFonts w:ascii="Open Sans" w:hAnsi="Open Sans"/>
          <w:sz w:val="20"/>
        </w:rPr>
        <w:t>increasingly</w:t>
      </w:r>
      <w:r w:rsidR="000E6265" w:rsidRPr="00845917">
        <w:rPr>
          <w:rFonts w:ascii="Open Sans" w:hAnsi="Open Sans"/>
          <w:sz w:val="20"/>
        </w:rPr>
        <w:t xml:space="preserve"> important </w:t>
      </w:r>
      <w:r w:rsidRPr="00845917">
        <w:rPr>
          <w:rFonts w:ascii="Open Sans" w:hAnsi="Open Sans"/>
          <w:sz w:val="20"/>
        </w:rPr>
        <w:t xml:space="preserve">for </w:t>
      </w:r>
      <w:r w:rsidR="000E6265" w:rsidRPr="00845917">
        <w:rPr>
          <w:rFonts w:ascii="Open Sans" w:hAnsi="Open Sans"/>
          <w:sz w:val="20"/>
        </w:rPr>
        <w:t xml:space="preserve">enhancing </w:t>
      </w:r>
      <w:r w:rsidR="001C77AD" w:rsidRPr="00845917">
        <w:rPr>
          <w:rFonts w:ascii="Open Sans" w:hAnsi="Open Sans"/>
          <w:sz w:val="20"/>
        </w:rPr>
        <w:t xml:space="preserve">projections of welfare </w:t>
      </w:r>
      <w:r w:rsidR="009131BD" w:rsidRPr="00845917">
        <w:rPr>
          <w:rFonts w:ascii="Open Sans" w:hAnsi="Open Sans"/>
          <w:sz w:val="20"/>
        </w:rPr>
        <w:t>using AI</w:t>
      </w:r>
      <w:r w:rsidR="005D5344" w:rsidRPr="00845917">
        <w:rPr>
          <w:rFonts w:ascii="Open Sans" w:hAnsi="Open Sans"/>
          <w:sz w:val="20"/>
        </w:rPr>
        <w:t xml:space="preserve">. </w:t>
      </w:r>
    </w:p>
    <w:p w14:paraId="4B19AA99" w14:textId="3CC2AF89" w:rsidR="00531F85" w:rsidRDefault="00B639F8" w:rsidP="00077757">
      <w:pPr>
        <w:spacing w:line="240" w:lineRule="auto"/>
        <w:jc w:val="both"/>
        <w:rPr>
          <w:rFonts w:ascii="Open Sans" w:hAnsi="Open Sans" w:cs="Open Sans"/>
          <w:sz w:val="20"/>
          <w:szCs w:val="20"/>
        </w:rPr>
      </w:pPr>
      <w:r w:rsidRPr="00725F8E">
        <w:rPr>
          <w:rFonts w:ascii="Open Sans" w:hAnsi="Open Sans" w:cs="Open Sans"/>
          <w:sz w:val="20"/>
          <w:szCs w:val="20"/>
        </w:rPr>
        <w:t xml:space="preserve">Currently, the estimation of global poverty relies on traditional sources of data (i.e., surveys), </w:t>
      </w:r>
      <w:r w:rsidR="00C935FC">
        <w:rPr>
          <w:rFonts w:ascii="Open Sans" w:hAnsi="Open Sans" w:cs="Open Sans"/>
          <w:sz w:val="20"/>
          <w:szCs w:val="20"/>
        </w:rPr>
        <w:t>complemented with</w:t>
      </w:r>
      <w:r w:rsidRPr="00725F8E">
        <w:rPr>
          <w:rFonts w:ascii="Open Sans" w:hAnsi="Open Sans" w:cs="Open Sans"/>
          <w:sz w:val="20"/>
          <w:szCs w:val="20"/>
        </w:rPr>
        <w:t xml:space="preserve"> machine-learning models to validate poverty predictions </w:t>
      </w:r>
      <w:r w:rsidRPr="00725F8E">
        <w:rPr>
          <w:rFonts w:ascii="Open Sans" w:hAnsi="Open Sans" w:cs="Open Sans"/>
          <w:sz w:val="20"/>
          <w:szCs w:val="20"/>
        </w:rPr>
        <w:fldChar w:fldCharType="begin"/>
      </w:r>
      <w:r w:rsidR="000456FF">
        <w:rPr>
          <w:rFonts w:ascii="Open Sans" w:hAnsi="Open Sans" w:cs="Open Sans"/>
          <w:sz w:val="20"/>
          <w:szCs w:val="20"/>
        </w:rPr>
        <w:instrText xml:space="preserve"> ADDIN ZOTERO_ITEM CSL_CITATION {"citationID":"ejs16C0i","properties":{"formattedCitation":"(Mahler et al., 2022)","plainCitation":"(Mahler et al., 2022)","noteIndex":0},"citationItems":[{"id":"Qynwqofk/j4KTZsCe","uris":["http://zotero.org/groups/4403230/items/2J248DB7"],"itemData":{"id":268,"type":"article-journal","abstract":"This paper evaluates different methods for nowcasting country-level poverty rates, including methods that apply statistical learning to large-scale country-level data obtained from the World Development Indicators and Google Earth Engine. The methods are evaluated by withholding measured poverty rates and determining how accurately the methods predict the held-out data. A simple approach that scales the last observed welfare distribution by a fraction of real GDP per capita growth performs nearly as well as models using statistical learning on 1,000+ variables. This GDP-based approach outperforms all models that predict poverty rates directly, even when the last survey is up to five years old. The results indicate that in this context, the additional complexity introduced by applying statistical learning techniques to a large set of variables yields only marginal improvements in accuracy.","container-title":"The World Bank Economic Review","DOI":"10.1093/wber/lhac017","ISSN":"0258-6770","issue":"4","journalAbbreviation":"The World Bank Economic Review","page":"835-856","source":"Silverchair","title":"Nowcasting Global Poverty","volume":"36","author":[{"family":"Mahler","given":"Daniel Gerszon"},{"family":"Castañeda Aguilar","given":"R Andrés"},{"family":"Newhouse","given":"David"}],"issued":{"date-parts":[["2022",11,2]]}}}],"schema":"https://github.com/citation-style-language/schema/raw/master/csl-citation.json"} </w:instrText>
      </w:r>
      <w:r w:rsidRPr="00725F8E">
        <w:rPr>
          <w:rFonts w:ascii="Open Sans" w:hAnsi="Open Sans" w:cs="Open Sans"/>
          <w:sz w:val="20"/>
          <w:szCs w:val="20"/>
        </w:rPr>
        <w:fldChar w:fldCharType="separate"/>
      </w:r>
      <w:r w:rsidR="00930395" w:rsidRPr="00930395">
        <w:rPr>
          <w:rFonts w:ascii="Open Sans" w:hAnsi="Open Sans" w:cs="Open Sans"/>
          <w:sz w:val="20"/>
        </w:rPr>
        <w:t>(Mahler et al., 2022)</w:t>
      </w:r>
      <w:r w:rsidRPr="00725F8E">
        <w:rPr>
          <w:rFonts w:ascii="Open Sans" w:hAnsi="Open Sans" w:cs="Open Sans"/>
          <w:sz w:val="20"/>
          <w:szCs w:val="20"/>
        </w:rPr>
        <w:fldChar w:fldCharType="end"/>
      </w:r>
      <w:r w:rsidRPr="00725F8E">
        <w:rPr>
          <w:rFonts w:ascii="Open Sans" w:hAnsi="Open Sans" w:cs="Open Sans"/>
          <w:sz w:val="20"/>
          <w:szCs w:val="20"/>
        </w:rPr>
        <w:t xml:space="preserve">. </w:t>
      </w:r>
      <w:r w:rsidR="00663217" w:rsidRPr="00725F8E">
        <w:rPr>
          <w:rFonts w:ascii="Open Sans" w:hAnsi="Open Sans" w:cs="Open Sans"/>
          <w:sz w:val="20"/>
          <w:szCs w:val="20"/>
        </w:rPr>
        <w:t xml:space="preserve"> </w:t>
      </w:r>
      <w:r w:rsidR="007526E9" w:rsidRPr="00725F8E">
        <w:rPr>
          <w:rFonts w:ascii="Open Sans" w:hAnsi="Open Sans" w:cs="Open Sans"/>
          <w:sz w:val="20"/>
          <w:szCs w:val="20"/>
        </w:rPr>
        <w:t>Despite progress in the availability of surveys,</w:t>
      </w:r>
      <w:r w:rsidR="001643AB" w:rsidRPr="00725F8E">
        <w:rPr>
          <w:rFonts w:ascii="Open Sans" w:hAnsi="Open Sans" w:cs="Open Sans"/>
          <w:sz w:val="20"/>
          <w:szCs w:val="20"/>
        </w:rPr>
        <w:t xml:space="preserve"> these t</w:t>
      </w:r>
      <w:r w:rsidR="00E568AE" w:rsidRPr="00077757">
        <w:rPr>
          <w:rFonts w:ascii="Open Sans" w:hAnsi="Open Sans" w:cs="Open Sans"/>
          <w:sz w:val="20"/>
          <w:szCs w:val="20"/>
        </w:rPr>
        <w:t xml:space="preserve">raditional methods produce measures of household welfare too infrequently to meet the needs of many policymakers. Official measures of poverty are derived from household </w:t>
      </w:r>
      <w:r w:rsidR="002B5152" w:rsidRPr="00725F8E">
        <w:rPr>
          <w:rFonts w:ascii="Open Sans" w:hAnsi="Open Sans" w:cs="Open Sans"/>
          <w:sz w:val="20"/>
          <w:szCs w:val="20"/>
        </w:rPr>
        <w:t>surveys, even</w:t>
      </w:r>
      <w:r w:rsidR="00E568AE" w:rsidRPr="00077757">
        <w:rPr>
          <w:rFonts w:ascii="Open Sans" w:hAnsi="Open Sans" w:cs="Open Sans"/>
          <w:sz w:val="20"/>
          <w:szCs w:val="20"/>
        </w:rPr>
        <w:t xml:space="preserve"> in ideal settings are only conducted every few years. </w:t>
      </w:r>
    </w:p>
    <w:p w14:paraId="55F692C9" w14:textId="4A501E81" w:rsidR="00BF2513" w:rsidRDefault="00F776DC" w:rsidP="00A955F7">
      <w:pPr>
        <w:spacing w:line="240" w:lineRule="auto"/>
        <w:jc w:val="both"/>
        <w:rPr>
          <w:rFonts w:ascii="Open Sans" w:hAnsi="Open Sans" w:cs="Open Sans"/>
          <w:sz w:val="20"/>
          <w:szCs w:val="20"/>
        </w:rPr>
      </w:pPr>
      <w:r>
        <w:rPr>
          <w:rFonts w:ascii="Open Sans" w:hAnsi="Open Sans" w:cs="Open Sans"/>
          <w:sz w:val="20"/>
          <w:szCs w:val="20"/>
        </w:rPr>
        <w:t>More research is needed</w:t>
      </w:r>
      <w:r w:rsidR="00BF2513" w:rsidRPr="00C125D8">
        <w:rPr>
          <w:rFonts w:ascii="Open Sans" w:hAnsi="Open Sans" w:cs="Open Sans"/>
          <w:sz w:val="20"/>
          <w:szCs w:val="20"/>
        </w:rPr>
        <w:t xml:space="preserve"> to</w:t>
      </w:r>
      <w:r w:rsidR="00CA5AE6">
        <w:rPr>
          <w:rFonts w:ascii="Open Sans" w:hAnsi="Open Sans" w:cs="Open Sans"/>
          <w:sz w:val="20"/>
          <w:szCs w:val="20"/>
        </w:rPr>
        <w:t xml:space="preserve"> </w:t>
      </w:r>
      <w:r w:rsidR="00A955F7">
        <w:rPr>
          <w:rFonts w:ascii="Open Sans" w:hAnsi="Open Sans" w:cs="Open Sans"/>
          <w:sz w:val="20"/>
          <w:szCs w:val="20"/>
        </w:rPr>
        <w:t>accurately predict changes in welfare over time using big data sources such as geospatial data or call detail records</w:t>
      </w:r>
      <w:r w:rsidR="00634F14">
        <w:rPr>
          <w:rFonts w:ascii="Open Sans" w:hAnsi="Open Sans" w:cs="Open Sans"/>
          <w:sz w:val="20"/>
          <w:szCs w:val="20"/>
        </w:rPr>
        <w:t>. So far</w:t>
      </w:r>
      <w:r w:rsidR="00B26491">
        <w:rPr>
          <w:rFonts w:ascii="Open Sans" w:hAnsi="Open Sans" w:cs="Open Sans"/>
          <w:sz w:val="20"/>
          <w:szCs w:val="20"/>
        </w:rPr>
        <w:t>,</w:t>
      </w:r>
      <w:r w:rsidR="00634F14">
        <w:rPr>
          <w:rFonts w:ascii="Open Sans" w:hAnsi="Open Sans" w:cs="Open Sans"/>
          <w:sz w:val="20"/>
          <w:szCs w:val="20"/>
        </w:rPr>
        <w:t xml:space="preserve"> the evidence sugges</w:t>
      </w:r>
      <w:r w:rsidR="00EC3DAC">
        <w:rPr>
          <w:rFonts w:ascii="Open Sans" w:hAnsi="Open Sans" w:cs="Open Sans"/>
          <w:sz w:val="20"/>
          <w:szCs w:val="20"/>
        </w:rPr>
        <w:t>ts that predicting changes over time is challenging</w:t>
      </w:r>
      <w:r w:rsidR="00C851D0">
        <w:rPr>
          <w:rFonts w:ascii="Open Sans" w:hAnsi="Open Sans" w:cs="Open Sans"/>
          <w:sz w:val="20"/>
          <w:szCs w:val="20"/>
        </w:rPr>
        <w:t>, especially on a global scale</w:t>
      </w:r>
      <w:r w:rsidR="00AC3CBA">
        <w:rPr>
          <w:rFonts w:ascii="Open Sans" w:hAnsi="Open Sans" w:cs="Open Sans"/>
          <w:sz w:val="20"/>
          <w:szCs w:val="20"/>
        </w:rPr>
        <w:t xml:space="preserve"> </w:t>
      </w:r>
      <w:r w:rsidR="007C1FC0" w:rsidRPr="005319E6">
        <w:rPr>
          <w:rFonts w:ascii="Open Sans" w:hAnsi="Open Sans" w:cs="Open Sans"/>
          <w:sz w:val="20"/>
          <w:szCs w:val="20"/>
          <w:highlight w:val="yellow"/>
        </w:rPr>
        <w:t>(cite typology though not yet published?)</w:t>
      </w:r>
      <w:r w:rsidR="00A955F7" w:rsidRPr="005319E6">
        <w:rPr>
          <w:rFonts w:ascii="Open Sans" w:hAnsi="Open Sans" w:cs="Open Sans"/>
          <w:sz w:val="20"/>
          <w:szCs w:val="20"/>
          <w:highlight w:val="yellow"/>
        </w:rPr>
        <w:t>.</w:t>
      </w:r>
      <w:r w:rsidR="00CA5AE6" w:rsidRPr="00CA5AE6">
        <w:rPr>
          <w:rFonts w:ascii="Open Sans" w:hAnsi="Open Sans" w:cs="Open Sans"/>
          <w:sz w:val="20"/>
          <w:szCs w:val="20"/>
        </w:rPr>
        <w:t xml:space="preserve"> For instance, Marty and </w:t>
      </w:r>
      <w:proofErr w:type="spellStart"/>
      <w:r w:rsidR="00CA5AE6" w:rsidRPr="00CA5AE6">
        <w:rPr>
          <w:rFonts w:ascii="Open Sans" w:hAnsi="Open Sans" w:cs="Open Sans"/>
          <w:sz w:val="20"/>
          <w:szCs w:val="20"/>
        </w:rPr>
        <w:t>Duhaut</w:t>
      </w:r>
      <w:proofErr w:type="spellEnd"/>
      <w:r w:rsidR="00CA5AE6" w:rsidRPr="00CA5AE6">
        <w:rPr>
          <w:rFonts w:ascii="Open Sans" w:hAnsi="Open Sans" w:cs="Open Sans"/>
          <w:sz w:val="20"/>
          <w:szCs w:val="20"/>
        </w:rPr>
        <w:t xml:space="preserve"> </w:t>
      </w:r>
      <w:r w:rsidR="00BA25AE">
        <w:rPr>
          <w:rFonts w:ascii="Open Sans" w:hAnsi="Open Sans" w:cs="Open Sans"/>
          <w:sz w:val="20"/>
          <w:szCs w:val="20"/>
        </w:rPr>
        <w:fldChar w:fldCharType="begin"/>
      </w:r>
      <w:r w:rsidR="00BA25AE">
        <w:rPr>
          <w:rFonts w:ascii="Open Sans" w:hAnsi="Open Sans" w:cs="Open Sans"/>
          <w:sz w:val="20"/>
          <w:szCs w:val="20"/>
        </w:rPr>
        <w:instrText xml:space="preserve"> ADDIN ZOTERO_ITEM CSL_CITATION {"citationID":"5eT1RKFx","properties":{"formattedCitation":"(2024)","plainCitation":"(2024)","noteIndex":0},"citationItems":[{"id":1807,"uris":["http://zotero.org/groups/5125234/items/NXBLCFBK"],"itemData":{"id":1807,"type":"article-journal","abstract":"Household surveys give a precise estimate of poverty; however, surveys are costly and are fielded infrequently. We demonstrate the importance of jointly using multiple public and private sector data sources to estimate levels and changes in wealth for a large set of countries. We train models using 63,854 survey cluster locations across 59 countries, relying on data from satellites, Facebook Marketing information, and OpenStreetMaps. The model generalizes previous approaches to a wide set of countries. On average, across countries, the model explains 55% (min = 14%; max = 85%) of the variation in levels of wealth at the survey cluster level and 59% (min = 0%; max = 93%) of the variation at the district level, and the model explains 4% (min = 0%; max = 17%) and 6% (min = 0%; max = 26%) of the variation of changes in wealth at the cluster and district levels. Models perform best in lower-income countries and in countries with higher variance in wealth. Features from nighttime lights, OpenStreetMaps, and land cover data are most important in explaining levels of wealth, and features from nighttime lights are most important in explaining changes in wealth.","container-title":"Scientific Reports","DOI":"10.1038/s41598-023-49564-6","ISSN":"2045-2322","issue":"1","journalAbbreviation":"Sci Rep","language":"en","license":"2024 The Author(s)","note":"publisher: Nature Publishing Group","page":"3160","source":"www.nature.com","title":"Global poverty estimation using private and public sector big data sources","volume":"14","author":[{"family":"Marty","given":"Robert"},{"family":"Duhaut","given":"Alice"}],"issued":{"date-parts":[["2024",2,7]]}},"label":"page","suppress-author":true}],"schema":"https://github.com/citation-style-language/schema/raw/master/csl-citation.json"} </w:instrText>
      </w:r>
      <w:r w:rsidR="00BA25AE">
        <w:rPr>
          <w:rFonts w:ascii="Open Sans" w:hAnsi="Open Sans" w:cs="Open Sans"/>
          <w:sz w:val="20"/>
          <w:szCs w:val="20"/>
        </w:rPr>
        <w:fldChar w:fldCharType="separate"/>
      </w:r>
      <w:r w:rsidR="00BA25AE" w:rsidRPr="00BA25AE">
        <w:rPr>
          <w:rFonts w:ascii="Open Sans" w:hAnsi="Open Sans" w:cs="Open Sans"/>
          <w:sz w:val="20"/>
        </w:rPr>
        <w:t>(2024)</w:t>
      </w:r>
      <w:r w:rsidR="00BA25AE">
        <w:rPr>
          <w:rFonts w:ascii="Open Sans" w:hAnsi="Open Sans" w:cs="Open Sans"/>
          <w:sz w:val="20"/>
          <w:szCs w:val="20"/>
        </w:rPr>
        <w:fldChar w:fldCharType="end"/>
      </w:r>
      <w:r w:rsidR="00CA5AE6" w:rsidRPr="00CA5AE6">
        <w:rPr>
          <w:rFonts w:ascii="Open Sans" w:hAnsi="Open Sans" w:cs="Open Sans"/>
          <w:sz w:val="20"/>
          <w:szCs w:val="20"/>
        </w:rPr>
        <w:t xml:space="preserve"> compare different models and data sources to predict poverty, finding models explain only between 4-6 percent of variation in asset-wealth over time (26 percent being the maximum in one country). Predicting non-monetary welfare indicators such as food security over time </w:t>
      </w:r>
      <w:r w:rsidR="009814B1">
        <w:rPr>
          <w:rFonts w:ascii="Open Sans" w:hAnsi="Open Sans" w:cs="Open Sans"/>
          <w:sz w:val="20"/>
          <w:szCs w:val="20"/>
        </w:rPr>
        <w:t xml:space="preserve">has so far been </w:t>
      </w:r>
      <w:r w:rsidR="007C1FC0">
        <w:rPr>
          <w:rFonts w:ascii="Open Sans" w:hAnsi="Open Sans" w:cs="Open Sans"/>
          <w:sz w:val="20"/>
          <w:szCs w:val="20"/>
        </w:rPr>
        <w:t>found to be</w:t>
      </w:r>
      <w:r w:rsidR="00CA5AE6" w:rsidRPr="00CA5AE6">
        <w:rPr>
          <w:rFonts w:ascii="Open Sans" w:hAnsi="Open Sans" w:cs="Open Sans"/>
          <w:sz w:val="20"/>
          <w:szCs w:val="20"/>
        </w:rPr>
        <w:t xml:space="preserve"> more feasible than predicting monetary or asset-based welfare indicators (see for example, Andree et al. </w:t>
      </w:r>
      <w:r w:rsidR="00A562D7">
        <w:rPr>
          <w:rFonts w:ascii="Open Sans" w:hAnsi="Open Sans" w:cs="Open Sans"/>
          <w:sz w:val="20"/>
          <w:szCs w:val="20"/>
        </w:rPr>
        <w:fldChar w:fldCharType="begin"/>
      </w:r>
      <w:r w:rsidR="00A562D7">
        <w:rPr>
          <w:rFonts w:ascii="Open Sans" w:hAnsi="Open Sans" w:cs="Open Sans"/>
          <w:sz w:val="20"/>
          <w:szCs w:val="20"/>
        </w:rPr>
        <w:instrText xml:space="preserve"> ADDIN ZOTERO_ITEM CSL_CITATION {"citationID":"6LepmGMh","properties":{"formattedCitation":"(2020)","plainCitation":"(2020)","noteIndex":0},"citationItems":[{"id":1809,"uris":["http://zotero.org/groups/5125234/items/DABWRLXW"],"itemData":{"id":1809,"type":"article-journal","container-title":"World Bank Policy Research Working Paper","note":"publisher: World Bank, Washington, DC","title":"Predicting food crises","volume":"No. 9412","author":[{"family":"Andree","given":"Bo Pieter Johannes"},{"family":"Chamorro","given":"Andres"},{"family":"Kraay","given":"Aart"},{"family":"Spencer","given":"Phoebe"},{"family":"Wang","given":"Dieter"}],"issued":{"date-parts":[["2020"]]}},"label":"page","suppress-author":true}],"schema":"https://github.com/citation-style-language/schema/raw/master/csl-citation.json"} </w:instrText>
      </w:r>
      <w:r w:rsidR="00A562D7">
        <w:rPr>
          <w:rFonts w:ascii="Open Sans" w:hAnsi="Open Sans" w:cs="Open Sans"/>
          <w:sz w:val="20"/>
          <w:szCs w:val="20"/>
        </w:rPr>
        <w:fldChar w:fldCharType="separate"/>
      </w:r>
      <w:r w:rsidR="00A562D7" w:rsidRPr="00E9224F">
        <w:rPr>
          <w:rFonts w:ascii="Open Sans" w:hAnsi="Open Sans" w:cs="Open Sans"/>
          <w:sz w:val="20"/>
          <w:szCs w:val="20"/>
        </w:rPr>
        <w:t>(2020)</w:t>
      </w:r>
      <w:r w:rsidR="00A562D7">
        <w:rPr>
          <w:rFonts w:ascii="Open Sans" w:hAnsi="Open Sans" w:cs="Open Sans"/>
          <w:sz w:val="20"/>
          <w:szCs w:val="20"/>
        </w:rPr>
        <w:fldChar w:fldCharType="end"/>
      </w:r>
      <w:r w:rsidR="00CA5AE6" w:rsidRPr="00CA5AE6">
        <w:rPr>
          <w:rFonts w:ascii="Open Sans" w:hAnsi="Open Sans" w:cs="Open Sans"/>
          <w:sz w:val="20"/>
          <w:szCs w:val="20"/>
        </w:rPr>
        <w:t xml:space="preserve"> or Tang et al. </w:t>
      </w:r>
      <w:r w:rsidR="007F5A43">
        <w:rPr>
          <w:rFonts w:ascii="Open Sans" w:hAnsi="Open Sans" w:cs="Open Sans"/>
          <w:sz w:val="20"/>
          <w:szCs w:val="20"/>
        </w:rPr>
        <w:fldChar w:fldCharType="begin"/>
      </w:r>
      <w:r w:rsidR="007F5A43">
        <w:rPr>
          <w:rFonts w:ascii="Open Sans" w:hAnsi="Open Sans" w:cs="Open Sans"/>
          <w:sz w:val="20"/>
          <w:szCs w:val="20"/>
        </w:rPr>
        <w:instrText xml:space="preserve"> ADDIN ZOTERO_ITEM CSL_CITATION {"citationID":"h6iTOQtB","properties":{"formattedCitation":"(2022)","plainCitation":"(2022)","noteIndex":0},"citationItems":[{"id":1810,"uris":["http://zotero.org/groups/5125234/items/IMVKF9VB"],"itemData":{"id":1810,"type":"article-journal","abstract":"Accurate and timely predictions of the poverty status of communities in developing countries are critical to policymakers. Previous work has applied convolutional neural networks (CNNs) to high-resolution satellite imagery to perform community-level poverty prediction. Although promising, such imagery has limitations in predicting poverty among poor communities. We provide the first evidence that a publicly available, moderate-resolution vegetation index (the normalized difference vegetation index [NDVI]), can be used with CNNs to produce accurate poverty predictions contemporaneously among poor communities heavily dependent on agriculture. We also show that the NDVI can effectively detect consumption variation over time. To our knowledge, this is the first attempt to use remote sensing data to predict future-period consumption expenditure at the community level.","container-title":"Applied Economic Perspectives and Policy","DOI":"10.1002/aepp.13221","ISSN":"2040-5804","issue":"2","language":"en","license":"© 2021 Agricultural &amp; Applied Economics Association.","note":"_eprint: https://onlinelibrary.wiley.com/doi/pdf/10.1002/aepp.13221","page":"930-945","source":"Wiley Online Library","title":"Predicting poverty with vegetation index","volume":"44","author":[{"family":"Tang","given":"Binh"},{"family":"Liu","given":"Yanyan"},{"family":"Matteson","given":"David S."}],"issued":{"date-parts":[["2022"]]}},"label":"page","suppress-author":true}],"schema":"https://github.com/citation-style-language/schema/raw/master/csl-citation.json"} </w:instrText>
      </w:r>
      <w:r w:rsidR="007F5A43">
        <w:rPr>
          <w:rFonts w:ascii="Open Sans" w:hAnsi="Open Sans" w:cs="Open Sans"/>
          <w:sz w:val="20"/>
          <w:szCs w:val="20"/>
        </w:rPr>
        <w:fldChar w:fldCharType="separate"/>
      </w:r>
      <w:r w:rsidR="007F5A43" w:rsidRPr="00E9224F">
        <w:rPr>
          <w:rFonts w:ascii="Open Sans" w:hAnsi="Open Sans" w:cs="Open Sans"/>
          <w:sz w:val="20"/>
          <w:szCs w:val="20"/>
        </w:rPr>
        <w:t>(2022)</w:t>
      </w:r>
      <w:r w:rsidR="007F5A43">
        <w:rPr>
          <w:rFonts w:ascii="Open Sans" w:hAnsi="Open Sans" w:cs="Open Sans"/>
          <w:sz w:val="20"/>
          <w:szCs w:val="20"/>
        </w:rPr>
        <w:fldChar w:fldCharType="end"/>
      </w:r>
      <w:r w:rsidR="00CA5AE6" w:rsidRPr="00CA5AE6">
        <w:rPr>
          <w:rFonts w:ascii="Open Sans" w:hAnsi="Open Sans" w:cs="Open Sans"/>
          <w:sz w:val="20"/>
          <w:szCs w:val="20"/>
        </w:rPr>
        <w:t>).</w:t>
      </w:r>
      <w:r w:rsidR="00665A27">
        <w:rPr>
          <w:rFonts w:ascii="Open Sans" w:hAnsi="Open Sans" w:cs="Open Sans"/>
          <w:sz w:val="20"/>
          <w:szCs w:val="20"/>
        </w:rPr>
        <w:t xml:space="preserve"> </w:t>
      </w:r>
      <w:r w:rsidR="00E06A8C">
        <w:rPr>
          <w:rFonts w:ascii="Open Sans" w:hAnsi="Open Sans" w:cs="Open Sans"/>
          <w:sz w:val="20"/>
          <w:szCs w:val="20"/>
        </w:rPr>
        <w:t xml:space="preserve">Mahler et al. </w:t>
      </w:r>
      <w:r w:rsidR="00665A27" w:rsidRPr="00E9224F">
        <w:rPr>
          <w:rFonts w:ascii="Open Sans" w:hAnsi="Open Sans" w:cs="Open Sans"/>
          <w:sz w:val="20"/>
          <w:szCs w:val="20"/>
        </w:rPr>
        <w:fldChar w:fldCharType="begin"/>
      </w:r>
      <w:r w:rsidR="000456FF" w:rsidRPr="00E9224F">
        <w:rPr>
          <w:rFonts w:ascii="Open Sans" w:hAnsi="Open Sans" w:cs="Open Sans"/>
          <w:sz w:val="20"/>
          <w:szCs w:val="20"/>
        </w:rPr>
        <w:instrText xml:space="preserve"> ADDIN ZOTERO_ITEM CSL_CITATION {"citationID":"SojF9vVE","properties":{"formattedCitation":"(2022)","plainCitation":"(2022)","noteIndex":0},"citationItems":[{"id":"Qynwqofk/j4KTZsCe","uris":["http://zotero.org/groups/4403230/items/2J248DB7"],"itemData":{"id":"Tcb395e8/suay1Ohp","type":"article-journal","abstract":"This paper evaluates different methods for nowcasting country-level poverty rates, including methods that apply statistical learning to large-scale country-level data obtained from the World Development Indicators and Google Earth Engine. The methods are evaluated by withholding measured poverty rates and determining how accurately the methods predict the held-out data. A simple approach that scales the last observed welfare distribution by a fraction of real GDP per capita growth performs nearly as well as models using statistical learning on 1,000+ variables. This GDP-based approach outperforms all models that predict poverty rates directly, even when the last survey is up to five years old. The results indicate that in this context, the additional complexity introduced by applying statistical learning techniques to a large set of variables yields only marginal improvements in accuracy.","container-title":"The World Bank Economic Review","DOI":"10.1093/wber/lhac017","ISSN":"0258-6770","issue":"4","journalAbbreviation":"The World Bank Economic Review","page":"835-856","source":"Silverchair","title":"Nowcasting Global Poverty","volume":"36","author":[{"family":"Mahler","given":"Daniel Gerszon"},{"family":"Castañeda Aguilar","given":"R Andrés"},{"family":"Newhouse","given":"David"}],"issued":{"date-parts":[["2022",11,2]]}},"label":"page","suppress-author":true}],"schema":"https://github.com/citation-style-language/schema/raw/master/csl-citation.json"} </w:instrText>
      </w:r>
      <w:r w:rsidR="00665A27" w:rsidRPr="00E9224F">
        <w:rPr>
          <w:rFonts w:ascii="Open Sans" w:hAnsi="Open Sans" w:cs="Open Sans"/>
          <w:sz w:val="20"/>
          <w:szCs w:val="20"/>
        </w:rPr>
        <w:fldChar w:fldCharType="separate"/>
      </w:r>
      <w:r w:rsidR="00665A27" w:rsidRPr="00E9224F">
        <w:rPr>
          <w:rFonts w:ascii="Open Sans" w:hAnsi="Open Sans" w:cs="Open Sans"/>
          <w:sz w:val="20"/>
          <w:szCs w:val="20"/>
        </w:rPr>
        <w:t>(2022)</w:t>
      </w:r>
      <w:r w:rsidR="00665A27" w:rsidRPr="00E9224F">
        <w:rPr>
          <w:rFonts w:ascii="Open Sans" w:hAnsi="Open Sans" w:cs="Open Sans"/>
          <w:sz w:val="20"/>
          <w:szCs w:val="20"/>
        </w:rPr>
        <w:fldChar w:fldCharType="end"/>
      </w:r>
      <w:r w:rsidR="00E06A8C" w:rsidRPr="00E9224F">
        <w:rPr>
          <w:rFonts w:ascii="Open Sans" w:hAnsi="Open Sans" w:cs="Open Sans"/>
          <w:sz w:val="20"/>
          <w:szCs w:val="20"/>
        </w:rPr>
        <w:t xml:space="preserve"> find that </w:t>
      </w:r>
      <w:r w:rsidR="00605C15" w:rsidRPr="00E9224F">
        <w:rPr>
          <w:rFonts w:ascii="Open Sans" w:hAnsi="Open Sans" w:cs="Open Sans"/>
          <w:sz w:val="20"/>
          <w:szCs w:val="20"/>
        </w:rPr>
        <w:t>on the country-level, using data from national accounts to nowcast poverty</w:t>
      </w:r>
      <w:r w:rsidR="00665A27" w:rsidRPr="00E9224F">
        <w:rPr>
          <w:rFonts w:ascii="Open Sans" w:hAnsi="Open Sans" w:cs="Open Sans"/>
          <w:sz w:val="20"/>
          <w:szCs w:val="20"/>
        </w:rPr>
        <w:t xml:space="preserve"> outperform</w:t>
      </w:r>
      <w:r w:rsidR="00605C15" w:rsidRPr="00E9224F">
        <w:rPr>
          <w:rFonts w:ascii="Open Sans" w:hAnsi="Open Sans" w:cs="Open Sans"/>
          <w:sz w:val="20"/>
          <w:szCs w:val="20"/>
        </w:rPr>
        <w:t xml:space="preserve">s </w:t>
      </w:r>
      <w:r w:rsidR="00665A27" w:rsidRPr="00E9224F">
        <w:rPr>
          <w:rFonts w:ascii="Open Sans" w:hAnsi="Open Sans" w:cs="Open Sans"/>
          <w:sz w:val="20"/>
          <w:szCs w:val="20"/>
        </w:rPr>
        <w:t>more complex models</w:t>
      </w:r>
      <w:r w:rsidR="00605C15" w:rsidRPr="00E9224F">
        <w:rPr>
          <w:rFonts w:ascii="Open Sans" w:hAnsi="Open Sans" w:cs="Open Sans"/>
          <w:sz w:val="20"/>
          <w:szCs w:val="20"/>
        </w:rPr>
        <w:t xml:space="preserve"> using a variety of geospatial variables.</w:t>
      </w:r>
      <w:r w:rsidR="00E6676B" w:rsidRPr="00E9224F">
        <w:rPr>
          <w:rFonts w:ascii="Open Sans" w:hAnsi="Open Sans" w:cs="Open Sans"/>
          <w:sz w:val="20"/>
          <w:szCs w:val="20"/>
        </w:rPr>
        <w:t xml:space="preserve"> More research is needed in how</w:t>
      </w:r>
      <w:r w:rsidR="00BA79B6" w:rsidRPr="00E9224F">
        <w:rPr>
          <w:rFonts w:ascii="Open Sans" w:hAnsi="Open Sans" w:cs="Open Sans"/>
          <w:sz w:val="20"/>
          <w:szCs w:val="20"/>
        </w:rPr>
        <w:t xml:space="preserve"> the accuracy of machine learning models in </w:t>
      </w:r>
      <w:r w:rsidR="002A0722" w:rsidRPr="00E9224F">
        <w:rPr>
          <w:rFonts w:ascii="Open Sans" w:hAnsi="Open Sans" w:cs="Open Sans"/>
          <w:sz w:val="20"/>
          <w:szCs w:val="20"/>
        </w:rPr>
        <w:t>estimating</w:t>
      </w:r>
      <w:r w:rsidR="00BA79B6" w:rsidRPr="00E9224F">
        <w:rPr>
          <w:rFonts w:ascii="Open Sans" w:hAnsi="Open Sans" w:cs="Open Sans"/>
          <w:sz w:val="20"/>
          <w:szCs w:val="20"/>
        </w:rPr>
        <w:t xml:space="preserve"> changes in</w:t>
      </w:r>
      <w:r w:rsidR="00E6676B" w:rsidRPr="00E9224F">
        <w:rPr>
          <w:rFonts w:ascii="Open Sans" w:hAnsi="Open Sans" w:cs="Open Sans"/>
          <w:sz w:val="20"/>
          <w:szCs w:val="20"/>
        </w:rPr>
        <w:t xml:space="preserve"> monetary poverty and other welfare metrics </w:t>
      </w:r>
      <w:r w:rsidR="00E05173" w:rsidRPr="00E9224F">
        <w:rPr>
          <w:rFonts w:ascii="Open Sans" w:hAnsi="Open Sans" w:cs="Open Sans"/>
          <w:sz w:val="20"/>
          <w:szCs w:val="20"/>
        </w:rPr>
        <w:t>using big data sources can be enhanced.</w:t>
      </w:r>
      <w:r w:rsidR="00E6676B" w:rsidRPr="00E9224F">
        <w:rPr>
          <w:rFonts w:ascii="Open Sans" w:hAnsi="Open Sans" w:cs="Open Sans"/>
          <w:sz w:val="20"/>
          <w:szCs w:val="20"/>
        </w:rPr>
        <w:t xml:space="preserve"> </w:t>
      </w:r>
    </w:p>
    <w:p w14:paraId="55CCD3F7" w14:textId="0C744CD8" w:rsidR="00DF6A91" w:rsidRPr="00DF6A91" w:rsidRDefault="000F4CD8" w:rsidP="00DF6A91">
      <w:pPr>
        <w:spacing w:before="240" w:line="240" w:lineRule="auto"/>
        <w:jc w:val="both"/>
        <w:rPr>
          <w:rFonts w:ascii="Open Sans" w:hAnsi="Open Sans" w:cs="Open Sans"/>
          <w:sz w:val="20"/>
          <w:szCs w:val="20"/>
        </w:rPr>
      </w:pPr>
      <w:r>
        <w:rPr>
          <w:rFonts w:ascii="Open Sans" w:hAnsi="Open Sans" w:cs="Open Sans"/>
          <w:sz w:val="20"/>
          <w:szCs w:val="20"/>
        </w:rPr>
        <w:t xml:space="preserve">Yet, </w:t>
      </w:r>
      <w:r w:rsidR="00215A79">
        <w:rPr>
          <w:rFonts w:ascii="Open Sans" w:hAnsi="Open Sans" w:cs="Open Sans"/>
          <w:sz w:val="20"/>
          <w:szCs w:val="20"/>
        </w:rPr>
        <w:t>to support</w:t>
      </w:r>
      <w:r w:rsidR="00DA6F59">
        <w:rPr>
          <w:rFonts w:ascii="Open Sans" w:hAnsi="Open Sans" w:cs="Open Sans"/>
          <w:sz w:val="20"/>
          <w:szCs w:val="20"/>
        </w:rPr>
        <w:t xml:space="preserve"> these more advanced analytics, </w:t>
      </w:r>
      <w:r w:rsidR="00DF6A91" w:rsidRPr="00DF6A91">
        <w:rPr>
          <w:rFonts w:ascii="Open Sans" w:hAnsi="Open Sans" w:cs="Open Sans"/>
          <w:sz w:val="20"/>
          <w:szCs w:val="20"/>
        </w:rPr>
        <w:t xml:space="preserve">household surveys </w:t>
      </w:r>
      <w:r w:rsidR="00DA6F59">
        <w:rPr>
          <w:rFonts w:ascii="Open Sans" w:hAnsi="Open Sans" w:cs="Open Sans"/>
          <w:sz w:val="20"/>
          <w:szCs w:val="20"/>
        </w:rPr>
        <w:t>need to be</w:t>
      </w:r>
      <w:r w:rsidR="00DF6A91" w:rsidRPr="00DF6A91">
        <w:rPr>
          <w:rFonts w:ascii="Open Sans" w:hAnsi="Open Sans" w:cs="Open Sans"/>
          <w:sz w:val="20"/>
          <w:szCs w:val="20"/>
        </w:rPr>
        <w:t xml:space="preserve"> "AI-ready"</w:t>
      </w:r>
      <w:r w:rsidR="00360D44">
        <w:rPr>
          <w:rFonts w:ascii="Open Sans" w:hAnsi="Open Sans" w:cs="Open Sans"/>
          <w:sz w:val="20"/>
          <w:szCs w:val="20"/>
        </w:rPr>
        <w:t>. This would</w:t>
      </w:r>
      <w:r w:rsidR="00DF6A91">
        <w:rPr>
          <w:rFonts w:ascii="Open Sans" w:hAnsi="Open Sans" w:cs="Open Sans"/>
          <w:sz w:val="20"/>
          <w:szCs w:val="20"/>
        </w:rPr>
        <w:t xml:space="preserve"> require investments in </w:t>
      </w:r>
      <w:r w:rsidR="00DF6A91" w:rsidRPr="00DF6A91">
        <w:rPr>
          <w:rFonts w:ascii="Open Sans" w:hAnsi="Open Sans" w:cs="Open Sans"/>
          <w:sz w:val="20"/>
          <w:szCs w:val="20"/>
        </w:rPr>
        <w:t>comprehensive metadata documentation and the adoption of standardized, interoperable data practices. Detailed descriptions for all variables, along with clear documentation of data collection methodologies, are essential for ensuring AI algorithms understand the context and nature of the data. Provenance information, including data sources and processing history, helps maintain reliability and allows for replicable studies. Standardized data formats and metadata, as well as APIs for seamless data access, enhance interoperability with various AI tools and platforms. Using ontologies and taxonomies to classify and relate data elements further aids AI systems in interpreting and analyzing the data.</w:t>
      </w:r>
    </w:p>
    <w:p w14:paraId="7E521417" w14:textId="77777777" w:rsidR="0069059D" w:rsidRDefault="0069059D" w:rsidP="0069059D">
      <w:pPr>
        <w:rPr>
          <w:rFonts w:ascii="Open Sans" w:eastAsiaTheme="majorEastAsia" w:hAnsi="Open Sans" w:cs="Open Sans"/>
          <w:color w:val="810F0B" w:themeColor="accent1" w:themeShade="7F"/>
          <w:sz w:val="20"/>
          <w:szCs w:val="20"/>
        </w:rPr>
      </w:pPr>
    </w:p>
    <w:p w14:paraId="15E722BF" w14:textId="0FA6B73A" w:rsidR="00D6556C" w:rsidRPr="00845917" w:rsidRDefault="00A44B6B" w:rsidP="00845917">
      <w:pPr>
        <w:pStyle w:val="Heading2"/>
        <w:spacing w:before="160" w:after="120" w:line="240" w:lineRule="auto"/>
        <w:ind w:left="576" w:hanging="576"/>
        <w:jc w:val="both"/>
        <w:rPr>
          <w:rFonts w:ascii="Open Sans" w:hAnsi="Open Sans"/>
          <w:sz w:val="20"/>
        </w:rPr>
      </w:pPr>
      <w:r w:rsidRPr="00845917">
        <w:rPr>
          <w:rFonts w:ascii="Open Sans" w:hAnsi="Open Sans"/>
          <w:sz w:val="20"/>
        </w:rPr>
        <w:t>Estimating</w:t>
      </w:r>
      <w:commentRangeStart w:id="6"/>
      <w:r w:rsidR="00D6556C" w:rsidRPr="00845917">
        <w:rPr>
          <w:rFonts w:ascii="Open Sans" w:hAnsi="Open Sans"/>
          <w:sz w:val="20"/>
        </w:rPr>
        <w:t xml:space="preserve"> GHG emissions</w:t>
      </w:r>
      <w:commentRangeEnd w:id="6"/>
      <w:r w:rsidR="003F0A77" w:rsidRPr="00845917">
        <w:rPr>
          <w:rFonts w:ascii="Open Sans" w:hAnsi="Open Sans"/>
          <w:sz w:val="20"/>
        </w:rPr>
        <w:commentReference w:id="6"/>
      </w:r>
    </w:p>
    <w:p w14:paraId="5CA07C4E" w14:textId="77777777" w:rsidR="00725F8E" w:rsidRDefault="00725F8E" w:rsidP="00725F8E"/>
    <w:p w14:paraId="1DE1E7B1" w14:textId="77777777" w:rsidR="005C3D68" w:rsidRDefault="008B084B" w:rsidP="008B084B">
      <w:pPr>
        <w:spacing w:line="240" w:lineRule="auto"/>
        <w:jc w:val="both"/>
        <w:rPr>
          <w:rFonts w:ascii="Open Sans" w:hAnsi="Open Sans" w:cs="Open Sans"/>
          <w:sz w:val="20"/>
          <w:szCs w:val="20"/>
        </w:rPr>
      </w:pPr>
      <w:r w:rsidRPr="00077757">
        <w:rPr>
          <w:rFonts w:ascii="Open Sans" w:hAnsi="Open Sans" w:cs="Open Sans"/>
          <w:sz w:val="20"/>
          <w:szCs w:val="20"/>
        </w:rPr>
        <w:t xml:space="preserve">It is not possible to measure global GHG emissions directly, but there are methods to estimate them, and various sources provide data for this indicator. </w:t>
      </w:r>
      <w:r w:rsidR="007724CC" w:rsidRPr="007724CC">
        <w:rPr>
          <w:rFonts w:ascii="Open Sans" w:hAnsi="Open Sans" w:cs="Open Sans"/>
          <w:sz w:val="20"/>
          <w:szCs w:val="20"/>
        </w:rPr>
        <w:t>The measurement status of greenhouse gas (GHG) emissions involves various approaches and data sources</w:t>
      </w:r>
      <w:r w:rsidR="007D49DC">
        <w:rPr>
          <w:rFonts w:ascii="Open Sans" w:hAnsi="Open Sans" w:cs="Open Sans"/>
          <w:sz w:val="20"/>
          <w:szCs w:val="20"/>
        </w:rPr>
        <w:t xml:space="preserve"> (</w:t>
      </w:r>
      <w:r w:rsidR="007D49DC" w:rsidRPr="008B084B">
        <w:rPr>
          <w:rFonts w:ascii="Open Sans" w:hAnsi="Open Sans" w:cs="Open Sans"/>
          <w:sz w:val="20"/>
          <w:szCs w:val="20"/>
        </w:rPr>
        <w:t xml:space="preserve">see for example National Academies of Sciences, Engineering, and Medicine </w:t>
      </w:r>
      <w:r w:rsidR="007D49DC" w:rsidRPr="008B084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{"citationID":"9XasJ8td","properties":{"formattedCitation":"(2022)","plainCitation":"(2022)","noteIndex":0},"citationItems":[{"id":1711,"uris":["http://zotero.org/groups/5125234/items/38UWDZJ7"],"itemData":{"id":1711,"type":"book","event-place":"Washington, D.C.","ISBN":"978-0-309-69114-7","note":"DOI: 10.17226/26641","publisher":"National Academies Press","publisher-place":"Washington, D.C.","source":"National Academies Press","title":"Greenhouse Gas Emissions Information for Decision Making: A Framework Going Forward","title-short":"Greenhouse Gas Emissions Information for Decision Making","URL":"https://www.nap.edu/catalog/26641","contributor":[{"literal":"National Academies of Sciences, Engineering, and Medicine"}],"accessed":{"date-parts":[["2024",6,11]]},"issued":{"date-parts":[["2022",12,21]]}},"label":"page","suppress-author":true}],"schema":"https://github.com/citation-style-language/schema/raw/master/csl-citation.json"} </w:instrText>
      </w:r>
      <w:r w:rsidR="007D49DC" w:rsidRPr="008B084B">
        <w:rPr>
          <w:rFonts w:ascii="Open Sans" w:hAnsi="Open Sans" w:cs="Open Sans"/>
          <w:sz w:val="20"/>
          <w:szCs w:val="20"/>
        </w:rPr>
        <w:fldChar w:fldCharType="separate"/>
      </w:r>
      <w:r w:rsidR="007D49DC" w:rsidRPr="008B084B">
        <w:rPr>
          <w:rFonts w:ascii="Open Sans" w:hAnsi="Open Sans" w:cs="Open Sans"/>
          <w:sz w:val="20"/>
          <w:szCs w:val="20"/>
        </w:rPr>
        <w:t>(2022)</w:t>
      </w:r>
      <w:r w:rsidR="007D49DC" w:rsidRPr="008B084B">
        <w:rPr>
          <w:rFonts w:ascii="Open Sans" w:hAnsi="Open Sans" w:cs="Open Sans"/>
          <w:sz w:val="20"/>
          <w:szCs w:val="20"/>
        </w:rPr>
        <w:fldChar w:fldCharType="end"/>
      </w:r>
      <w:r w:rsidR="007D49DC" w:rsidRPr="008B084B">
        <w:rPr>
          <w:rFonts w:ascii="Open Sans" w:hAnsi="Open Sans" w:cs="Open Sans"/>
          <w:sz w:val="20"/>
          <w:szCs w:val="20"/>
        </w:rPr>
        <w:t>).</w:t>
      </w:r>
      <w:r w:rsidR="007D49DC" w:rsidRPr="005319E6">
        <w:rPr>
          <w:rStyle w:val="FootnoteReference"/>
        </w:rPr>
        <w:footnoteReference w:id="6"/>
      </w:r>
      <w:r w:rsidR="007724CC" w:rsidRPr="007724CC">
        <w:rPr>
          <w:rFonts w:ascii="Open Sans" w:hAnsi="Open Sans" w:cs="Open Sans"/>
          <w:sz w:val="20"/>
          <w:szCs w:val="20"/>
        </w:rPr>
        <w:t xml:space="preserve"> The primary sources of GHG emissions data include </w:t>
      </w:r>
      <w:commentRangeStart w:id="8"/>
      <w:r w:rsidR="007724CC" w:rsidRPr="007724CC">
        <w:rPr>
          <w:rFonts w:ascii="Open Sans" w:hAnsi="Open Sans" w:cs="Open Sans"/>
          <w:sz w:val="20"/>
          <w:szCs w:val="20"/>
        </w:rPr>
        <w:t>national inventories</w:t>
      </w:r>
      <w:commentRangeEnd w:id="8"/>
      <w:r w:rsidR="00834C21">
        <w:rPr>
          <w:rStyle w:val="CommentReference"/>
          <w:kern w:val="0"/>
          <w14:ligatures w14:val="none"/>
        </w:rPr>
        <w:commentReference w:id="8"/>
      </w:r>
      <w:r w:rsidR="007724CC" w:rsidRPr="007724CC">
        <w:rPr>
          <w:rFonts w:ascii="Open Sans" w:hAnsi="Open Sans" w:cs="Open Sans"/>
          <w:sz w:val="20"/>
          <w:szCs w:val="20"/>
        </w:rPr>
        <w:t xml:space="preserve">, satellite observations, and sector-specific measurements. National inventories, compiled by countries and reported to international bodies such as the United Nations Framework Convention on Climate Change (UNFCCC), provide detailed emissions data by sector. Satellite observations enhance these inventories by offering independent, high-resolution data, particularly useful for detecting emissions from remote areas and verifying self-reported data. Sector-specific </w:t>
      </w:r>
      <w:r w:rsidR="007724CC" w:rsidRPr="007724CC">
        <w:rPr>
          <w:rFonts w:ascii="Open Sans" w:hAnsi="Open Sans" w:cs="Open Sans"/>
          <w:sz w:val="20"/>
          <w:szCs w:val="20"/>
        </w:rPr>
        <w:lastRenderedPageBreak/>
        <w:t>measurements focus on key emission sources such as energy production, transportation, and agriculture.</w:t>
      </w:r>
    </w:p>
    <w:p w14:paraId="3A460869" w14:textId="13AC6F32" w:rsidR="007724CC" w:rsidRDefault="007724CC" w:rsidP="008B084B">
      <w:pPr>
        <w:spacing w:line="240" w:lineRule="auto"/>
        <w:jc w:val="both"/>
        <w:rPr>
          <w:rFonts w:ascii="Open Sans" w:hAnsi="Open Sans" w:cs="Open Sans"/>
          <w:sz w:val="20"/>
          <w:szCs w:val="20"/>
        </w:rPr>
      </w:pPr>
      <w:r w:rsidRPr="007724CC">
        <w:rPr>
          <w:rFonts w:ascii="Open Sans" w:hAnsi="Open Sans" w:cs="Open Sans"/>
          <w:sz w:val="20"/>
          <w:szCs w:val="20"/>
        </w:rPr>
        <w:t>Despite advancements in technology and data integration, challenges remain in achieving comprehensive, real-time global coverage</w:t>
      </w:r>
      <w:r w:rsidR="00487847">
        <w:rPr>
          <w:rFonts w:ascii="Open Sans" w:hAnsi="Open Sans" w:cs="Open Sans"/>
          <w:sz w:val="20"/>
          <w:szCs w:val="20"/>
        </w:rPr>
        <w:t xml:space="preserve"> of emissions</w:t>
      </w:r>
      <w:r w:rsidRPr="007724CC">
        <w:rPr>
          <w:rFonts w:ascii="Open Sans" w:hAnsi="Open Sans" w:cs="Open Sans"/>
          <w:sz w:val="20"/>
          <w:szCs w:val="20"/>
        </w:rPr>
        <w:t>, standardizing measurement methodologies, and ensuring data accuracy and transparency. Ongoing efforts aim to address these challenges and improve the precision and reliability of GHG emissions data.</w:t>
      </w:r>
    </w:p>
    <w:p w14:paraId="3A919494" w14:textId="16A2718E" w:rsidR="008B084B" w:rsidRPr="00077757" w:rsidRDefault="008B084B" w:rsidP="00077757">
      <w:pPr>
        <w:spacing w:line="240" w:lineRule="auto"/>
        <w:jc w:val="both"/>
        <w:rPr>
          <w:rFonts w:ascii="Open Sans" w:hAnsi="Open Sans" w:cs="Open Sans"/>
          <w:sz w:val="20"/>
          <w:szCs w:val="20"/>
        </w:rPr>
      </w:pPr>
      <w:r w:rsidRPr="00077757">
        <w:rPr>
          <w:rFonts w:ascii="Open Sans" w:hAnsi="Open Sans" w:cs="Open Sans"/>
          <w:sz w:val="20"/>
          <w:szCs w:val="20"/>
        </w:rPr>
        <w:t xml:space="preserve">The estimated accuracy of emissions from fossil fuel combustion and industrial processes are deemed high, as quantities of fossil fuels and other emissive materials produced (such as cement and steel) are well known </w:t>
      </w:r>
      <w:commentRangeStart w:id="9"/>
      <w:r w:rsidR="00930395">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{"citationID":"p5AnYxke","properties":{"formattedCitation":"(Crippa et al., 2023)","plainCitation":"(Crippa et al., 2023)","noteIndex":0},"citationItems":[{"id":1427,"uris":["http://zotero.org/groups/5125234/items/3VE9NH4R"],"itemData":{"id":1427,"type":"book","abstract":"The Emissions Database for Global Atmospheric Research (EDGAR) provides greenhouse gas (GHG) emissions time series for all countries and for all anthropogenic sectors from 1970 until 2022, with the exception of emissions and removals from land use and forestry, which are provided for the years 1990-2022. The report contributes to the Paris Agreement process with an independent quantitative overview of global GHG emissions, based on the IEA-EDGAR CO2, EDGAR CH4, EDGAR N2O and EDGAR F-gases version 8.0 datasets (2023).","call-number":"KJ-NA-31-658-EN-N","ISBN":"978-92-68-07550-0","language":"eng","publisher":"Publications Office of the European Union","source":"Publications Office of the European Union","title":"GHG emissions of all world countries: 2023","title-short":"GHG emissions of all world countries","URL":"https://data.europa.eu/doi/10.2760/953322","author":[{"family":"Crippa","given":"M."},{"family":"Guizzardi","given":"D."},{"family":"Schaaf","given":"E."},{"family":"Monforti-Ferrario","given":"F."},{"family":"Quadrelli","given":"R."},{"family":"Risquez Martin","given":"A."},{"family":"Rossi","given":"S."},{"family":"Vignati","given":"E."},{"family":"Muntean","given":"M."},{"family":"Brandao De Melo","given":"J."},{"family":"Oom","given":"D."},{"family":"Pagani","given":"F."},{"family":"Banja","given":"M."},{"family":"Taghavi-Moharamli","given":"P."},{"family":"Köykkä","given":"J."},{"family":"Grassi","given":"G."},{"family":"Branco","given":"A."},{"family":"San-Miguel","given":"J."}],"accessed":{"date-parts":[["2024",4,5]]},"issued":{"date-parts":[["2023"]]}}}],"schema":"https://github.com/citation-style-language/schema/raw/master/csl-citation.json"} </w:instrText>
      </w:r>
      <w:r w:rsidR="00930395">
        <w:rPr>
          <w:rFonts w:ascii="Open Sans" w:hAnsi="Open Sans" w:cs="Open Sans"/>
          <w:sz w:val="20"/>
          <w:szCs w:val="20"/>
        </w:rPr>
        <w:fldChar w:fldCharType="separate"/>
      </w:r>
      <w:r w:rsidR="00930395" w:rsidRPr="00930395">
        <w:rPr>
          <w:rFonts w:ascii="Open Sans" w:hAnsi="Open Sans" w:cs="Open Sans"/>
          <w:sz w:val="20"/>
        </w:rPr>
        <w:t>(Crippa et al., 2023)</w:t>
      </w:r>
      <w:r w:rsidR="00930395">
        <w:rPr>
          <w:rFonts w:ascii="Open Sans" w:hAnsi="Open Sans" w:cs="Open Sans"/>
          <w:sz w:val="20"/>
          <w:szCs w:val="20"/>
        </w:rPr>
        <w:fldChar w:fldCharType="end"/>
      </w:r>
      <w:r w:rsidRPr="00077757">
        <w:rPr>
          <w:rFonts w:ascii="Open Sans" w:hAnsi="Open Sans" w:cs="Open Sans"/>
          <w:sz w:val="20"/>
          <w:szCs w:val="20"/>
        </w:rPr>
        <w:t xml:space="preserve">. </w:t>
      </w:r>
      <w:commentRangeEnd w:id="9"/>
      <w:r w:rsidR="006B5122">
        <w:rPr>
          <w:rStyle w:val="CommentReference"/>
          <w:kern w:val="0"/>
          <w14:ligatures w14:val="none"/>
        </w:rPr>
        <w:commentReference w:id="9"/>
      </w:r>
      <w:r w:rsidRPr="00077757">
        <w:rPr>
          <w:rFonts w:ascii="Open Sans" w:hAnsi="Open Sans" w:cs="Open Sans"/>
          <w:sz w:val="20"/>
          <w:szCs w:val="20"/>
        </w:rPr>
        <w:t>Yet, anthropogenic emissions from the land use, land use change and forestry (LULUCF) subsectors are more challenging to quantify because of the complexity of terrestrial ecosystem and the difficulties of disentangling natural from anthropogenic fluxes.</w:t>
      </w:r>
      <w:r w:rsidR="002F368A">
        <w:rPr>
          <w:rFonts w:ascii="Open Sans" w:hAnsi="Open Sans" w:cs="Open Sans"/>
          <w:sz w:val="20"/>
          <w:szCs w:val="20"/>
        </w:rPr>
        <w:t xml:space="preserve"> </w:t>
      </w:r>
      <w:r w:rsidR="002F368A" w:rsidRPr="008B084B">
        <w:rPr>
          <w:rFonts w:ascii="Open Sans" w:hAnsi="Open Sans" w:cs="Open Sans"/>
          <w:sz w:val="20"/>
          <w:szCs w:val="20"/>
        </w:rPr>
        <w:t xml:space="preserve">Measuring emissions from LULUCF is particularly challenging and there are often discrepancies between measurement approaches </w:t>
      </w:r>
      <w:r w:rsidR="002F368A" w:rsidRPr="008B084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{"citationID":"VAfiR5g8","properties":{"formattedCitation":"(Friedlingstein et al., 2020; Grassi et al., 2023)","plainCitation":"(Friedlingstein et al., 2020; Grassi et al., 2023)","noteIndex":0},"citationItems":[{"id":1254,"uris":["http://zotero.org/groups/5125234/items/95LPXF9W"],"itemData":{"id":1254,"type":"article-journal","abstract":"Accurate assessment of anthropogenic carbon dioxide (CO2) emissions and their redistribution among the atmosphere, ocean, and terrestrial biosphere in a changing climate – the “global carbon budget” – is important to better understand the global carbon cycle, support the development of climate policies, and project future climate change. Here we describe and synthesize data sets and methodology to quantify the five major components of the global carbon budget and their uncertainties. Fossil CO2 emissions (EFOS) are based on energy statistics and cement production data, while emissions from land-use change (ELUC), mainly deforestation, are based on land use and land-use change data and bookkeeping models. Atmospheric CO2 concentration is measured directly and its growth rate (GATM) is computed from the annual changes in concentration. The ocean CO2 sink (SOCEAN) and terrestrial CO2 sink (SLAND) are estimated with global process models constrained by observations. The resulting carbon budget imbalance (BIM), the difference between the estimated total emissions and the estimated changes in the atmosphere, ocean, and terrestrial biosphere, is a measure of imperfect data and understanding of the contemporary carbon cycle. All uncertainties are reported as ±1σ. For the last decade available (2010–2019), EFOS was 9.6&amp;thinsp;±&amp;thinsp;0.5&amp;thinsp;GtC&amp;thinsp;yr−1 excluding the cement carbonation sink (9.4&amp;thinsp;±&amp;thinsp;0.5&amp;thinsp;GtC&amp;thinsp;yr−1 when the cement carbonation sink is included), and ELUC was 1.6&amp;thinsp;±&amp;thinsp;0.7&amp;thinsp;GtC&amp;thinsp;yr−1. For the same decade, GATM was 5.1&amp;thinsp;±&amp;thinsp;0.02&amp;thinsp;GtC&amp;thinsp;yr−1 (2.4&amp;thinsp;±&amp;thinsp;0.01&amp;thinsp;ppm&amp;thinsp;yr−1), SOCEAN 2.5&amp;thinsp;±&amp;thinsp; 0.6&amp;thinsp;GtC&amp;thinsp;yr−1, and SLAND 3.4&amp;thinsp;±&amp;thinsp;0.9&amp;thinsp;GtC&amp;thinsp;yr−1, with a budget imbalance BIM of −0.1&amp;thinsp;GtC&amp;thinsp;yr−1 indicating a near balance between estimated sources and sinks over the last decade. For the year 2019 alone, the growth in EFOS was only about 0.1&amp;thinsp;% with fossil emissions increasing to 9.9&amp;thinsp;±&amp;thinsp;0.5&amp;thinsp;GtC&amp;thinsp;yr−1 excluding the cement carbonation sink (9.7&amp;thinsp;±&amp;thinsp;0.5&amp;thinsp;GtC&amp;thinsp;yr−1 when cement carbonation sink is included), and ELUC was 1.8&amp;thinsp;±&amp;thinsp;0.7&amp;thinsp;GtC&amp;thinsp;yr−1, for total anthropogenic CO2 emissions of 11.5&amp;thinsp;±&amp;thinsp;0.9&amp;thinsp;GtC&amp;thinsp;yr−1 (42.2&amp;thinsp;±&amp;thinsp;3.3&amp;thinsp;GtCO2). Also for 2019, GATM was 5.4&amp;thinsp;±&amp;thinsp;0.2&amp;thinsp;GtC&amp;thinsp;yr−1 (2.5&amp;thinsp;±&amp;thinsp;0.1&amp;thinsp;ppm&amp;thinsp;yr−1), SOCEAN was 2.6&amp;thinsp;±&amp;thinsp;0.6&amp;thinsp;GtC&amp;thinsp;yr−1, and SLAND was 3.1&amp;thinsp;±&amp;thinsp;1.2&amp;thinsp;GtC&amp;thinsp;yr−1, with a BIM of 0.3&amp;thinsp;GtC. The global atmospheric CO2 concentration reached 409.85&amp;thinsp;±&amp;thinsp;0.1&amp;thinsp;ppm averaged over 2019. Preliminary data for 2020, accounting for the COVID-19-induced changes in emissions, suggest a decrease in EFOS relative to 2019 of about −7&amp;thinsp;% (median estimate) based on individual estimates from four studies of −6&amp;thinsp;%, −7&amp;thinsp;%, −7&amp;thinsp;% (−3&amp;thinsp;% to −11&amp;thinsp;%), and −13&amp;thinsp;%. Overall, the mean and trend in the components of the global carbon budget are consistently estimated over the period 1959–2019, but discrepancies of up to 1&amp;thinsp;GtC&amp;thinsp;yr−1 persist for the representation of semi-decadal variability in CO2 fluxes. Comparison of estimates from diverse approaches and observations shows (1) no consensus in the mean and trend in land-use change emissions over the last decade, (2) a persistent low agreement between the different methods on the magnitude of the land CO2 flux in the northern extra-tropics, and (3) an apparent discrepancy between the different methods for the ocean sink outside the tropics, particularly in the Southern Ocean. This living data update documents changes in the methods and data sets used in this new global carbon budget and the progress in understanding of the global carbon cycle compared with previous publications of this data set (Friedlingstein et al., 2019; Le Quéré et al., 2018b, a, 2016, 2015b, a, 2014, 2013). The data presented in this work are available at https://doi.org/10.18160/gcp-2020 (Friedlingstein et al., 2020).","container-title":"Earth System Science Data","DOI":"10.5194/essd-12-3269-2020","ISSN":"1866-3508","issue":"4","language":"English","note":"publisher: Copernicus GmbH","page":"3269-3340","source":"Copernicus Online Journals","title":"Global Carbon Budget 2020","volume":"12","author":[{"family":"Friedlingstein","given":"Pierre"},{"family":"O'Sullivan","given":"Michael"},{"family":"Jones","given":"Matthew W."},{"family":"Andrew","given":"Robbie M."},{"family":"Hauck","given":"Judith"},{"family":"Olsen","given":"Are"},{"family":"Peters","given":"Glen P."},{"family":"Peters","given":"Wouter"},{"family":"Pongratz","given":"Julia"},{"family":"Sitch","given":"Stephen"},{"family":"Le Quéré","given":"Corinne"},{"family":"Canadell","given":"Josep G."},{"family":"Ciais","given":"Philippe"},{"family":"Jackson","given":"Robert B."},{"family":"Alin","given":"Simone"},{"family":"Aragão","given":"Luiz E. O. C."},{"family":"Arneth","given":"Almut"},{"family":"Arora","given":"Vivek"},{"family":"Bates","given":"Nicholas R."},{"family":"Becker","given":"Meike"},{"family":"Benoit-Cattin","given":"Alice"},{"family":"Bittig","given":"Henry C."},{"family":"Bopp","given":"Laurent"},{"family":"Bultan","given":"Selma"},{"family":"Chandra","given":"Naveen"},{"family":"Chevallier","given":"Frédéric"},{"family":"Chini","given":"Louise P."},{"family":"Evans","given":"Wiley"},{"family":"Florentie","given":"Liesbeth"},{"family":"Forster","given":"Piers M."},{"family":"Gasser","given":"Thomas"},{"family":"Gehlen","given":"Marion"},{"family":"Gilfillan","given":"Dennis"},{"family":"Gkritzalis","given":"Thanos"},{"family":"Gregor","given":"Luke"},{"family":"Gruber","given":"Nicolas"},{"family":"Harris","given":"Ian"},{"family":"Hartung","given":"Kerstin"},{"family":"Haverd","given":"Vanessa"},{"family":"Houghton","given":"Richard A."},{"family":"Ilyina","given":"Tatiana"},{"family":"Jain","given":"Atul K."},{"family":"Joetzjer","given":"Emilie"},{"family":"Kadono","given":"Koji"},{"family":"Kato","given":"Etsushi"},{"family":"Kitidis","given":"Vassilis"},{"family":"Korsbakken","given":"Jan Ivar"},{"family":"Landschützer","given":"Peter"},{"family":"Lefèvre","given":"Nathalie"},{"family":"Lenton","given":"Andrew"},{"family":"Lienert","given":"Sebastian"},{"family":"Liu","given":"Zhu"},{"family":"Lombardozzi","given":"Danica"},{"family":"Marland","given":"Gregg"},{"family":"Metzl","given":"Nicolas"},{"family":"Munro","given":"David R."},{"family":"Nabel","given":"Julia E. M. S."},{"family":"Nakaoka","given":"Shin-Ichiro"},{"family":"Niwa","given":"Yosuke"},{"family":"O'Brien","given":"Kevin"},{"family":"Ono","given":"Tsuneo"},{"family":"Palmer","given":"Paul I."},{"family":"Pierrot","given":"Denis"},{"family":"Poulter","given":"Benjamin"},{"family":"Resplandy","given":"Laure"},{"family":"Robertson","given":"Eddy"},{"family":"Rödenbeck","given":"Christian"},{"family":"Schwinger","given":"Jörg"},{"family":"Séférian","given":"Roland"},{"family":"Skjelvan","given":"Ingunn"},{"family":"Smith","given":"Adam J. P."},{"family":"Sutton","given":"Adrienne J."},{"family":"Tanhua","given":"Toste"},{"family":"Tans","given":"Pieter P."},{"family":"Tian","given":"Hanqin"},{"family":"Tilbrook","given":"Bronte"},{"family":"Werf","given":"Guido","non-dropping-particle":"van der"},{"family":"Vuichard","given":"Nicolas"},{"family":"Walker","given":"Anthony P."},{"family":"Wanninkhof","given":"Rik"},{"family":"Watson","given":"Andrew J."},{"family":"Willis","given":"David"},{"family":"Wiltshire","given":"Andrew J."},{"family":"Yuan","given":"Wenping"},{"family":"Yue","given":"Xu"},{"family":"Zaehle","given":"Sönke"}],"issued":{"date-parts":[["2020",12,11]]}}},{"id":1709,"uris":["http://zotero.org/groups/5125234/items/9488IKUP"],"itemData":{"id":1709,"type":"article-journal","abstract":"As the focus of climate policy shifts from pledges to implementation, there is a growing need to track progress on climate change mitigation at the country level, particularly for the land-use sector. Despite new tools and models providing unprecedented monitoring opportunities, striking differences remain in estimations of anthropogenic land-use CO2 fluxes between, on the one hand, the national greenhouse gas inventories (NGHGIs) used to assess compliance with national climate targets under the Paris Agreement and, on the other hand, the Global Carbon Budget and Intergovernmental Panel on Climate Change (IPCC) assessment reports, both based on global bookkeeping models (BMs).\n\n Recent studies have shown that these differences are mainly due to inconsistent definitions of anthropogenic CO2 fluxes in managed forests. Countries assume larger areas of forest to be managed than BMs do, due to a broader definition of managed land in NGHGIs. Additionally, the fraction of the land sink caused by indirect effects of human-induced environmental change (e.g. fertilisation effect on vegetation growth due to increased atmospheric CO2 concentration) on managed lands is treated as non-anthropogenic by BMs but as anthropogenic in most NGHGIs.\n\n We implement an approach that adds the CO2 sink caused by environmental change in countries' managed forests (estimated by 16 dynamic global vegetation models, DGVMs) to the land-use fluxes from three BMs. This sum is conceptually more comparable to NGHGIs and is thus expected to be quantitatively more similar. Our analysis uses updated and more comprehensive data from NGHGIs than previous studies and provides model results at a greater level of disaggregation in terms of regions, countries and land categories (i.e. forest land, deforestation, organic soils, other land uses).\n\n Our results confirm a large difference (6.7 GtCO2 yr−1) in global land-use CO2 fluxes between the ensemble mean of the BMs, which estimate a source of 4.8 GtCO2 yr−1 for the period 2000–2020, and NGHGIs, which estimate a sink of −1.9 GtCO2 yr−1 in the same period. Most of the gap is found on forest land (3.5 GtCO2 yr−1), with differences also for deforestation (2.4 GtCO2 yr−1), for fluxes from other land uses (1.0 GtCO2 yr−1) and to a lesser extent for fluxes from organic soils (0.2 GtCO2 yr−1). By adding the DGVM ensemble mean sink arising from environmental change in managed forests (−6.4 GtCO2 yr−1) to BM estimates, the gap between BMs and NGHGIs becomes substantially smaller both globally (residual gap: 0.3 GtCO2 yr−1) and in most regions and countries. However, some discrepancies remain and deserve further investigation. For example, the BMs generally provide higher emissions from deforestation than NGHGIs and, when adjusted with the sink in managed forests estimated by DGVMs, yield a sink that is often greater than NGHGIs.\n\n In summary, this study provides a blueprint for harmonising the estimations of anthropogenic land-use fluxes, allowing for detailed comparisons between global models and national inventories at global, regional and country levels. This is crucial to increase confidence in land-use emissions estimates, support investments in land-based mitigation strategies and assess the countries' collective progress under the Global Stocktake of the Paris Agreement.\n\n Data from this study are openly available online via the Zenodo portal (Grassi et al., 2023) at https://doi.org/10.5281/zenodo.7650360.","container-title":"Earth System Science Data","DOI":"10.5194/essd-15-1093-2023","ISSN":"1866-3508","issue":"3","language":"English","note":"publisher: Copernicus GmbH","page":"1093-1114","source":"Copernicus Online Journals","title":"Harmonising the land-use flux estimates of global models and national inventories for 2000–2020","volume":"15","author":[{"family":"Grassi","given":"Giacomo"},{"family":"Schwingshackl","given":"Clemens"},{"family":"Gasser","given":"Thomas"},{"family":"Houghton","given":"Richard A."},{"family":"Sitch","given":"Stephen"},{"family":"Canadell","given":"Josep G."},{"family":"Cescatti","given":"Alessandro"},{"family":"Ciais","given":"Philippe"},{"family":"Federici","given":"Sandro"},{"family":"Friedlingstein","given":"Pierre"},{"family":"Kurz","given":"Werner A."},{"family":"Sanz Sanchez","given":"Maria J."},{"family":"Abad Viñas","given":"Raúl"},{"family":"Alkama","given":"Ramdane"},{"family":"Bultan","given":"Selma"},{"family":"Ceccherini","given":"Guido"},{"family":"Falk","given":"Stefanie"},{"family":"Kato","given":"Etsushi"},{"family":"Kennedy","given":"Daniel"},{"family":"Knauer","given":"Jürgen"},{"family":"Korosuo","given":"Anu"},{"family":"Melo","given":"Joana"},{"family":"McGrath","given":"Matthew J."},{"family":"Nabel","given":"Julia E. M. S."},{"family":"Poulter","given":"Benjamin"},{"family":"Romanovskaya","given":"Anna A."},{"family":"Rossi","given":"Simone"},{"family":"Tian","given":"Hanqin"},{"family":"Walker","given":"Anthony P."},{"family":"Yuan","given":"Wenping"},{"family":"Yue","given":"Xu"},{"family":"Pongratz","given":"Julia"}],"issued":{"date-parts":[["2023",3,10]]}}}],"schema":"https://github.com/citation-style-language/schema/raw/master/csl-citation.json"} </w:instrText>
      </w:r>
      <w:r w:rsidR="002F368A" w:rsidRPr="008B084B">
        <w:rPr>
          <w:rFonts w:ascii="Open Sans" w:hAnsi="Open Sans" w:cs="Open Sans"/>
          <w:sz w:val="20"/>
          <w:szCs w:val="20"/>
        </w:rPr>
        <w:fldChar w:fldCharType="separate"/>
      </w:r>
      <w:r w:rsidR="002F368A" w:rsidRPr="008B084B">
        <w:rPr>
          <w:rFonts w:ascii="Open Sans" w:hAnsi="Open Sans" w:cs="Open Sans"/>
          <w:sz w:val="20"/>
          <w:szCs w:val="20"/>
        </w:rPr>
        <w:t>(Friedlingstein et al., 2020; Grassi et al., 2023)</w:t>
      </w:r>
      <w:r w:rsidR="002F368A" w:rsidRPr="008B084B">
        <w:rPr>
          <w:rFonts w:ascii="Open Sans" w:hAnsi="Open Sans" w:cs="Open Sans"/>
          <w:sz w:val="20"/>
          <w:szCs w:val="20"/>
        </w:rPr>
        <w:fldChar w:fldCharType="end"/>
      </w:r>
      <w:r w:rsidR="002F368A" w:rsidRPr="008B084B">
        <w:rPr>
          <w:rFonts w:ascii="Open Sans" w:hAnsi="Open Sans" w:cs="Open Sans"/>
          <w:sz w:val="20"/>
          <w:szCs w:val="20"/>
        </w:rPr>
        <w:t xml:space="preserve">. Differences arise from the definition of land-use (change), for instance whether absorbed carbon from managed forests is counted into national emissions. Comparable LULUCF data is furthermore not available prior </w:t>
      </w:r>
      <w:commentRangeStart w:id="10"/>
      <w:r w:rsidR="002F368A" w:rsidRPr="008B084B">
        <w:rPr>
          <w:rFonts w:ascii="Open Sans" w:hAnsi="Open Sans" w:cs="Open Sans"/>
          <w:sz w:val="20"/>
          <w:szCs w:val="20"/>
        </w:rPr>
        <w:t>to 2000</w:t>
      </w:r>
      <w:commentRangeEnd w:id="10"/>
      <w:r w:rsidR="00834C21">
        <w:rPr>
          <w:rStyle w:val="CommentReference"/>
          <w:kern w:val="0"/>
          <w14:ligatures w14:val="none"/>
        </w:rPr>
        <w:commentReference w:id="10"/>
      </w:r>
      <w:r w:rsidR="002F368A" w:rsidRPr="008B084B">
        <w:rPr>
          <w:rFonts w:ascii="Open Sans" w:hAnsi="Open Sans" w:cs="Open Sans"/>
          <w:sz w:val="20"/>
          <w:szCs w:val="20"/>
        </w:rPr>
        <w:t>, making historic comparisons difficult, and LULUCF emissions for 2021 and 2022 are extrapolated in the data used for this report.</w:t>
      </w:r>
    </w:p>
    <w:p w14:paraId="4C567BBE" w14:textId="21BC0935" w:rsidR="00D6556C" w:rsidRPr="008B084B" w:rsidRDefault="008B084B" w:rsidP="008B084B">
      <w:pPr>
        <w:spacing w:line="240" w:lineRule="auto"/>
        <w:jc w:val="both"/>
        <w:rPr>
          <w:rFonts w:ascii="Open Sans" w:hAnsi="Open Sans" w:cs="Open Sans"/>
          <w:sz w:val="20"/>
          <w:szCs w:val="20"/>
        </w:rPr>
      </w:pPr>
      <w:r w:rsidRPr="00077757">
        <w:rPr>
          <w:rFonts w:ascii="Open Sans" w:hAnsi="Open Sans" w:cs="Open Sans"/>
          <w:sz w:val="20"/>
          <w:szCs w:val="20"/>
        </w:rPr>
        <w:t xml:space="preserve">The World Bank’s new indicator of global GHG emissions is based on the Joint Research Center’s Emissions Database for Global Atmospheric Research (EDGAR), augmented by preliminary estimates for the land use, land use change and forestry (LULUCF) using a hybrid-inventory approach that were developed for the Research Center’s annual report, GHG Emissions of all World Countries, 2023 </w:t>
      </w:r>
      <w:r w:rsidRPr="00077757">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{"citationID":"JDkocVsi","properties":{"formattedCitation":"(Crippa et al., 2023)","plainCitation":"(Crippa et al., 2023)","noteIndex":0},"citationItems":[{"id":1427,"uris":["http://zotero.org/groups/5125234/items/3VE9NH4R"],"itemData":{"id":1427,"type":"book","abstract":"The Emissions Database for Global Atmospheric Research (EDGAR) provides greenhouse gas (GHG) emissions time series for all countries and for all anthropogenic sectors from 1970 until 2022, with the exception of emissions and removals from land use and forestry, which are provided for the years 1990-2022. The report contributes to the Paris Agreement process with an independent quantitative overview of global GHG emissions, based on the IEA-EDGAR CO2, EDGAR CH4, EDGAR N2O and EDGAR F-gases version 8.0 datasets (2023).","call-number":"KJ-NA-31-658-EN-N","ISBN":"978-92-68-07550-0","language":"eng","publisher":"Publications Office of the European Union","source":"Publications Office of the European Union","title":"GHG emissions of all world countries: 2023","title-short":"GHG emissions of all world countries","URL":"https://data.europa.eu/doi/10.2760/953322","author":[{"family":"Crippa","given":"M."},{"family":"Guizzardi","given":"D."},{"family":"Schaaf","given":"E."},{"family":"Monforti-Ferrario","given":"F."},{"family":"Quadrelli","given":"R."},{"family":"Risquez Martin","given":"A."},{"family":"Rossi","given":"S."},{"family":"Vignati","given":"E."},{"family":"Muntean","given":"M."},{"family":"Brandao De Melo","given":"J."},{"family":"Oom","given":"D."},{"family":"Pagani","given":"F."},{"family":"Banja","given":"M."},{"family":"Taghavi-Moharamli","given":"P."},{"family":"Köykkä","given":"J."},{"family":"Grassi","given":"G."},{"family":"Branco","given":"A."},{"family":"San-Miguel","given":"J."}],"accessed":{"date-parts":[["2024",4,5]]},"issued":{"date-parts":[["2023"]]}}}],"schema":"https://github.com/citation-style-language/schema/raw/master/csl-citation.json"} </w:instrText>
      </w:r>
      <w:r w:rsidRPr="00077757">
        <w:rPr>
          <w:rFonts w:ascii="Open Sans" w:hAnsi="Open Sans" w:cs="Open Sans"/>
          <w:sz w:val="20"/>
          <w:szCs w:val="20"/>
        </w:rPr>
        <w:fldChar w:fldCharType="separate"/>
      </w:r>
      <w:r w:rsidR="00930395" w:rsidRPr="00930395">
        <w:rPr>
          <w:rFonts w:ascii="Open Sans" w:hAnsi="Open Sans" w:cs="Open Sans"/>
          <w:sz w:val="20"/>
        </w:rPr>
        <w:t>(Crippa et al., 2023)</w:t>
      </w:r>
      <w:r w:rsidRPr="00077757">
        <w:rPr>
          <w:rFonts w:ascii="Open Sans" w:hAnsi="Open Sans" w:cs="Open Sans"/>
          <w:sz w:val="20"/>
          <w:szCs w:val="20"/>
        </w:rPr>
        <w:fldChar w:fldCharType="end"/>
      </w:r>
      <w:r w:rsidRPr="00077757">
        <w:rPr>
          <w:rFonts w:ascii="Open Sans" w:hAnsi="Open Sans" w:cs="Open Sans"/>
          <w:sz w:val="20"/>
          <w:szCs w:val="20"/>
        </w:rPr>
        <w:t>. For more highly disaggregated, country-level non-LULUCF emissions, a more granular EDGAR dataset (EDGAR v8.0) is used, which includes national estimates of annual emissions disaggregated by 37 subsectors and 28 GHGs (</w:t>
      </w:r>
      <w:commentRangeStart w:id="11"/>
      <w:r w:rsidRPr="00077757">
        <w:rPr>
          <w:rFonts w:ascii="Open Sans" w:hAnsi="Open Sans" w:cs="Open Sans"/>
          <w:sz w:val="20"/>
          <w:szCs w:val="20"/>
        </w:rPr>
        <w:t xml:space="preserve">CO2, CH4, N2O, and 25 different F-gases) </w:t>
      </w:r>
      <w:commentRangeEnd w:id="11"/>
      <w:r w:rsidR="00693DE0">
        <w:rPr>
          <w:rStyle w:val="CommentReference"/>
          <w:kern w:val="0"/>
          <w14:ligatures w14:val="none"/>
        </w:rPr>
        <w:commentReference w:id="11"/>
      </w:r>
      <w:r w:rsidRPr="00077757">
        <w:rPr>
          <w:rFonts w:ascii="Open Sans" w:hAnsi="Open Sans" w:cs="Open Sans"/>
          <w:sz w:val="20"/>
          <w:szCs w:val="20"/>
        </w:rPr>
        <w:t>from 1970 to 2022.</w:t>
      </w:r>
      <w:r w:rsidRPr="005319E6">
        <w:rPr>
          <w:rStyle w:val="FootnoteReference"/>
        </w:rPr>
        <w:footnoteReference w:id="7"/>
      </w:r>
      <w:r w:rsidRPr="00077757">
        <w:rPr>
          <w:rFonts w:ascii="Open Sans" w:hAnsi="Open Sans" w:cs="Open Sans"/>
          <w:sz w:val="20"/>
          <w:szCs w:val="20"/>
          <w:vertAlign w:val="superscript"/>
        </w:rPr>
        <w:t xml:space="preserve"> </w:t>
      </w:r>
      <w:r w:rsidRPr="00077757">
        <w:rPr>
          <w:rFonts w:ascii="Open Sans" w:hAnsi="Open Sans" w:cs="Open Sans"/>
          <w:sz w:val="20"/>
          <w:szCs w:val="20"/>
        </w:rPr>
        <w:t>These data, when aggregated to the global level, are nearly identical to the EDGAR Report data.</w:t>
      </w:r>
      <w:r w:rsidR="00CF456D">
        <w:rPr>
          <w:rFonts w:ascii="Open Sans" w:hAnsi="Open Sans" w:cs="Open Sans"/>
          <w:sz w:val="20"/>
          <w:szCs w:val="20"/>
        </w:rPr>
        <w:t xml:space="preserve"> </w:t>
      </w:r>
      <w:r w:rsidR="00F8304F" w:rsidRPr="008B084B">
        <w:rPr>
          <w:rFonts w:ascii="Open Sans" w:hAnsi="Open Sans" w:cs="Open Sans"/>
          <w:sz w:val="20"/>
          <w:szCs w:val="20"/>
        </w:rPr>
        <w:t xml:space="preserve">To account for the discrepancy in global values of EDGAR and the aggregation of national LULUCF data from Grassi </w:t>
      </w:r>
      <w:r w:rsidR="00F8304F" w:rsidRPr="00BB7417">
        <w:rPr>
          <w:rFonts w:ascii="Open Sans" w:hAnsi="Open Sans" w:cs="Open Sans"/>
          <w:sz w:val="20"/>
          <w:szCs w:val="20"/>
        </w:rPr>
        <w:t xml:space="preserve">et al. </w:t>
      </w:r>
      <w:r w:rsidR="00F8304F" w:rsidRPr="00BB7417">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{"citationID":"vzYaLsDV","properties":{"formattedCitation":"(2023)","plainCitation":"(2023)","noteIndex":0},"citationItems":[{"id":1709,"uris":["http://zotero.org/groups/5125234/items/9488IKUP"],"itemData":{"id":1709,"type":"article-journal","abstract":"As the focus of climate policy shifts from pledges to implementation, there is a growing need to track progress on climate change mitigation at the country level, particularly for the land-use sector. Despite new tools and models providing unprecedented monitoring opportunities, striking differences remain in estimations of anthropogenic land-use CO2 fluxes between, on the one hand, the national greenhouse gas inventories (NGHGIs) used to assess compliance with national climate targets under the Paris Agreement and, on the other hand, the Global Carbon Budget and Intergovernmental Panel on Climate Change (IPCC) assessment reports, both based on global bookkeeping models (BMs).\n\n Recent studies have shown that these differences are mainly due to inconsistent definitions of anthropogenic CO2 fluxes in managed forests. Countries assume larger areas of forest to be managed than BMs do, due to a broader definition of managed land in NGHGIs. Additionally, the fraction of the land sink caused by indirect effects of human-induced environmental change (e.g. fertilisation effect on vegetation growth due to increased atmospheric CO2 concentration) on managed lands is treated as non-anthropogenic by BMs but as anthropogenic in most NGHGIs.\n\n We implement an approach that adds the CO2 sink caused by environmental change in countries' managed forests (estimated by 16 dynamic global vegetation models, DGVMs) to the land-use fluxes from three BMs. This sum is conceptually more comparable to NGHGIs and is thus expected to be quantitatively more similar. Our analysis uses updated and more comprehensive data from NGHGIs than previous studies and provides model results at a greater level of disaggregation in terms of regions, countries and land categories (i.e. forest land, deforestation, organic soils, other land uses).\n\n Our results confirm a large difference (6.7 GtCO2 yr−1) in global land-use CO2 fluxes between the ensemble mean of the BMs, which estimate a source of 4.8 GtCO2 yr−1 for the period 2000–2020, and NGHGIs, which estimate a sink of −1.9 GtCO2 yr−1 in the same period. Most of the gap is found on forest land (3.5 GtCO2 yr−1), with differences also for deforestation (2.4 GtCO2 yr−1), for fluxes from other land uses (1.0 GtCO2 yr−1) and to a lesser extent for fluxes from organic soils (0.2 GtCO2 yr−1). By adding the DGVM ensemble mean sink arising from environmental change in managed forests (−6.4 GtCO2 yr−1) to BM estimates, the gap between BMs and NGHGIs becomes substantially smaller both globally (residual gap: 0.3 GtCO2 yr−1) and in most regions and countries. However, some discrepancies remain and deserve further investigation. For example, the BMs generally provide higher emissions from deforestation than NGHGIs and, when adjusted with the sink in managed forests estimated by DGVMs, yield a sink that is often greater than NGHGIs.\n\n In summary, this study provides a blueprint for harmonising the estimations of anthropogenic land-use fluxes, allowing for detailed comparisons between global models and national inventories at global, regional and country levels. This is crucial to increase confidence in land-use emissions estimates, support investments in land-based mitigation strategies and assess the countries' collective progress under the Global Stocktake of the Paris Agreement.\n\n Data from this study are openly available online via the Zenodo portal (Grassi et al., 2023) at https://doi.org/10.5281/zenodo.7650360.","container-title":"Earth System Science Data","DOI":"10.5194/essd-15-1093-2023","ISSN":"1866-3508","issue":"3","language":"English","note":"publisher: Copernicus GmbH","page":"1093-1114","source":"Copernicus Online Journals","title":"Harmonising the land-use flux estimates of global models and national inventories for 2000–2020","volume":"15","author":[{"family":"Grassi","given":"Giacomo"},{"family":"Schwingshackl","given":"Clemens"},{"family":"Gasser","given":"Thomas"},{"family":"Houghton","given":"Richard A."},{"family":"Sitch","given":"Stephen"},{"family":"Canadell","given":"Josep G."},{"family":"Cescatti","given":"Alessandro"},{"family":"Ciais","given":"Philippe"},{"family":"Federici","given":"Sandro"},{"family":"Friedlingstein","given":"Pierre"},{"family":"Kurz","given":"Werner A."},{"family":"Sanz Sanchez","given":"Maria J."},{"family":"Abad Viñas","given":"Raúl"},{"family":"Alkama","given":"Ramdane"},{"family":"Bultan","given":"Selma"},{"family":"Ceccherini","given":"Guido"},{"family":"Falk","given":"Stefanie"},{"family":"Kato","given":"Etsushi"},{"family":"Kennedy","given":"Daniel"},{"family":"Knauer","given":"Jürgen"},{"family":"Korosuo","given":"Anu"},{"family":"Melo","given":"Joana"},{"family":"McGrath","given":"Matthew J."},{"family":"Nabel","given":"Julia E. M. S."},{"family":"Poulter","given":"Benjamin"},{"family":"Romanovskaya","given":"Anna A."},{"family":"Rossi","given":"Simone"},{"family":"Tian","given":"Hanqin"},{"family":"Walker","given":"Anthony P."},{"family":"Yuan","given":"Wenping"},{"family":"Yue","given":"Xu"},{"family":"Pongratz","given":"Julia"}],"issued":{"date-parts":[["2023",3,10]]}},"label":"page","suppress-author":true}],"schema":"https://github.com/citation-style-language/schema/raw/master/csl-citation.json"} </w:instrText>
      </w:r>
      <w:r w:rsidR="00F8304F" w:rsidRPr="00BB7417">
        <w:rPr>
          <w:rFonts w:ascii="Open Sans" w:hAnsi="Open Sans" w:cs="Open Sans"/>
          <w:sz w:val="20"/>
          <w:szCs w:val="20"/>
        </w:rPr>
        <w:fldChar w:fldCharType="separate"/>
      </w:r>
      <w:r w:rsidR="00F8304F" w:rsidRPr="008B084B">
        <w:rPr>
          <w:rFonts w:ascii="Open Sans" w:hAnsi="Open Sans" w:cs="Open Sans"/>
          <w:sz w:val="20"/>
          <w:szCs w:val="20"/>
        </w:rPr>
        <w:t>(2023)</w:t>
      </w:r>
      <w:r w:rsidR="00F8304F" w:rsidRPr="00BB7417">
        <w:rPr>
          <w:rFonts w:ascii="Open Sans" w:hAnsi="Open Sans" w:cs="Open Sans"/>
          <w:sz w:val="20"/>
          <w:szCs w:val="20"/>
        </w:rPr>
        <w:fldChar w:fldCharType="end"/>
      </w:r>
      <w:r w:rsidR="00F8304F" w:rsidRPr="008B084B">
        <w:rPr>
          <w:rFonts w:ascii="Open Sans" w:hAnsi="Open Sans" w:cs="Open Sans"/>
          <w:sz w:val="20"/>
          <w:szCs w:val="20"/>
        </w:rPr>
        <w:t xml:space="preserve"> a small residual factor by sector and gas is included.</w:t>
      </w:r>
    </w:p>
    <w:p w14:paraId="2CD60396" w14:textId="7BEC508B" w:rsidR="00D6556C" w:rsidRPr="008B084B" w:rsidRDefault="00A76945" w:rsidP="008B084B">
      <w:pPr>
        <w:spacing w:line="240" w:lineRule="auto"/>
        <w:jc w:val="both"/>
        <w:rPr>
          <w:rFonts w:ascii="Open Sans" w:hAnsi="Open Sans" w:cs="Open Sans"/>
          <w:sz w:val="20"/>
          <w:szCs w:val="20"/>
        </w:rPr>
      </w:pPr>
      <w:r w:rsidRPr="00BB7417">
        <w:rPr>
          <w:rFonts w:ascii="Open Sans" w:hAnsi="Open Sans" w:cs="Open Sans"/>
          <w:sz w:val="20"/>
          <w:szCs w:val="20"/>
        </w:rPr>
        <w:t xml:space="preserve">While </w:t>
      </w:r>
      <w:r w:rsidRPr="008B084B">
        <w:rPr>
          <w:rFonts w:ascii="Open Sans" w:hAnsi="Open Sans" w:cs="Open Sans"/>
          <w:sz w:val="20"/>
          <w:szCs w:val="20"/>
        </w:rPr>
        <w:t xml:space="preserve">GHG emissions started to accelerate during the 19th century when industrialization began, </w:t>
      </w:r>
      <w:r w:rsidR="00881792">
        <w:rPr>
          <w:rFonts w:ascii="Open Sans" w:hAnsi="Open Sans" w:cs="Open Sans"/>
          <w:sz w:val="20"/>
          <w:szCs w:val="20"/>
        </w:rPr>
        <w:t>this report</w:t>
      </w:r>
      <w:r w:rsidRPr="008B084B">
        <w:rPr>
          <w:rFonts w:ascii="Open Sans" w:hAnsi="Open Sans" w:cs="Open Sans"/>
          <w:sz w:val="20"/>
          <w:szCs w:val="20"/>
        </w:rPr>
        <w:t xml:space="preserve"> depict</w:t>
      </w:r>
      <w:r w:rsidR="00316424">
        <w:rPr>
          <w:rFonts w:ascii="Open Sans" w:hAnsi="Open Sans" w:cs="Open Sans"/>
          <w:sz w:val="20"/>
          <w:szCs w:val="20"/>
        </w:rPr>
        <w:t>s</w:t>
      </w:r>
      <w:r w:rsidRPr="008B084B">
        <w:rPr>
          <w:rFonts w:ascii="Open Sans" w:hAnsi="Open Sans" w:cs="Open Sans"/>
          <w:sz w:val="20"/>
          <w:szCs w:val="20"/>
        </w:rPr>
        <w:t xml:space="preserve"> more recent trends in emissions, as disaggregated data, for instance by type of greenhouse gas or economic sector (including LULUCF), is only available since 1990, and for all sectors by country since 2000</w:t>
      </w:r>
      <w:r w:rsidRPr="008B084B" w:rsidDel="005C21CA">
        <w:rPr>
          <w:rFonts w:ascii="Open Sans" w:hAnsi="Open Sans" w:cs="Open Sans"/>
          <w:sz w:val="20"/>
          <w:szCs w:val="20"/>
        </w:rPr>
        <w:t>.</w:t>
      </w:r>
      <w:r w:rsidRPr="008B084B">
        <w:rPr>
          <w:rFonts w:ascii="Open Sans" w:hAnsi="Open Sans" w:cs="Open Sans"/>
          <w:sz w:val="20"/>
          <w:szCs w:val="20"/>
        </w:rPr>
        <w:t xml:space="preserve"> </w:t>
      </w:r>
      <w:commentRangeStart w:id="12"/>
      <w:commentRangeStart w:id="13"/>
      <w:r w:rsidR="00D6556C" w:rsidRPr="008B084B">
        <w:rPr>
          <w:rFonts w:ascii="Open Sans" w:hAnsi="Open Sans" w:cs="Open Sans"/>
          <w:sz w:val="20"/>
          <w:szCs w:val="20"/>
        </w:rPr>
        <w:t xml:space="preserve">As mentioned above, greenhouse gas emissions remain in the atmosphere for centuries. </w:t>
      </w:r>
      <w:commentRangeEnd w:id="12"/>
      <w:r w:rsidR="00693DE0">
        <w:rPr>
          <w:rStyle w:val="CommentReference"/>
          <w:kern w:val="0"/>
          <w14:ligatures w14:val="none"/>
        </w:rPr>
        <w:commentReference w:id="12"/>
      </w:r>
      <w:commentRangeEnd w:id="13"/>
      <w:r w:rsidR="00693DE0">
        <w:rPr>
          <w:rStyle w:val="CommentReference"/>
          <w:kern w:val="0"/>
          <w14:ligatures w14:val="none"/>
        </w:rPr>
        <w:commentReference w:id="13"/>
      </w:r>
      <w:r w:rsidR="00D6556C" w:rsidRPr="008B084B">
        <w:rPr>
          <w:rFonts w:ascii="Open Sans" w:hAnsi="Open Sans" w:cs="Open Sans"/>
          <w:sz w:val="20"/>
          <w:szCs w:val="20"/>
        </w:rPr>
        <w:t xml:space="preserve">While we focus on emissions trends from 1990 onwards in this report due to data availability and quality, there are estimates for historical emissions (see e.g. Jones </w:t>
      </w:r>
      <w:r w:rsidR="00D6556C" w:rsidRPr="008B084B">
        <w:rPr>
          <w:rFonts w:ascii="Open Sans" w:hAnsi="Open Sans" w:cs="Open Sans"/>
          <w:i/>
          <w:iCs/>
          <w:sz w:val="20"/>
          <w:szCs w:val="20"/>
        </w:rPr>
        <w:t>et al.</w:t>
      </w:r>
      <w:r w:rsidR="00D6556C" w:rsidRPr="008B084B">
        <w:rPr>
          <w:rFonts w:ascii="Open Sans" w:hAnsi="Open Sans" w:cs="Open Sans"/>
          <w:sz w:val="20"/>
          <w:szCs w:val="20"/>
        </w:rPr>
        <w:t xml:space="preserve"> </w:t>
      </w:r>
      <w:r w:rsidR="00D6556C" w:rsidRPr="008B084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{"citationID":"fQn7IFbH","properties":{"formattedCitation":"(2023)","plainCitation":"(2023)","noteIndex":0},"citationItems":[{"id":1721,"uris":["http://zotero.org/groups/5125234/items/2TZHBCG6"],"itemData":{"id":1721,"type":"article-journal","abstract":"Anthropogenic emissions of carbon dioxide (CO2), methane (CH4) and nitrous oxide (N2O) have made significant contributions to global warming since the pre-industrial period and are therefore targeted in international climate policy. There is substantial interest in tracking and apportioning national contributions to climate change and informing equitable commitments to decarbonisation. Here, we introduce a new dataset of national contributions to global warming caused by historical emissions of carbon dioxide, methane, and nitrous oxide during the years 1851–2021, which are consistent with the latest findings of the IPCC. We calculate the global mean surface temperature response to historical emissions of the three gases, including recent refinements which account for the short atmospheric lifetime of CH4. We report national contributions to global warming resulting from emissions of each gas, including a disaggregation to fossil and land use sectors. This dataset will be updated annually as national emissions datasets are updated.","container-title":"Scientific Data","DOI":"10.1038/s41597-023-02041-1","ISSN":"2052-4463","issue":"1","journalAbbreviation":"Sci Data","language":"en","license":"2023 The Author(s)","note":"publisher: Nature Publishing Group","page":"155","source":"www.nature.com","title":"National contributions to climate change due to historical emissions of carbon dioxide, methane, and nitrous oxide since 1850","volume":"10","author":[{"family":"Jones","given":"Matthew W."},{"family":"Peters","given":"Glen P."},{"family":"Gasser","given":"Thomas"},{"family":"Andrew","given":"Robbie M."},{"family":"Schwingshackl","given":"Clemens"},{"family":"Gütschow","given":"Johannes"},{"family":"Houghton","given":"Richard A."},{"family":"Friedlingstein","given":"Pierre"},{"family":"Pongratz","given":"Julia"},{"family":"Le Quéré","given":"Corinne"}],"issued":{"date-parts":[["2023",3,29]]}},"label":"page","suppress-author":true}],"schema":"https://github.com/citation-style-language/schema/raw/master/csl-citation.json"} </w:instrText>
      </w:r>
      <w:r w:rsidR="00D6556C" w:rsidRPr="008B084B">
        <w:rPr>
          <w:rFonts w:ascii="Open Sans" w:hAnsi="Open Sans" w:cs="Open Sans"/>
          <w:sz w:val="20"/>
          <w:szCs w:val="20"/>
        </w:rPr>
        <w:fldChar w:fldCharType="separate"/>
      </w:r>
      <w:r w:rsidR="00D6556C" w:rsidRPr="008B084B">
        <w:rPr>
          <w:rFonts w:ascii="Open Sans" w:hAnsi="Open Sans" w:cs="Open Sans"/>
          <w:sz w:val="20"/>
          <w:szCs w:val="20"/>
        </w:rPr>
        <w:t>(2023)</w:t>
      </w:r>
      <w:r w:rsidR="00D6556C" w:rsidRPr="008B084B">
        <w:rPr>
          <w:rFonts w:ascii="Open Sans" w:hAnsi="Open Sans" w:cs="Open Sans"/>
          <w:sz w:val="20"/>
          <w:szCs w:val="20"/>
        </w:rPr>
        <w:fldChar w:fldCharType="end"/>
      </w:r>
      <w:r w:rsidR="00D6556C" w:rsidRPr="008B084B">
        <w:rPr>
          <w:rFonts w:ascii="Open Sans" w:hAnsi="Open Sans" w:cs="Open Sans"/>
          <w:sz w:val="20"/>
          <w:szCs w:val="20"/>
        </w:rPr>
        <w:t xml:space="preserve">). It is important to consider that the stock of emissions in the atmosphere is what matters for warming and reducing emissions going forward is of essence to limit future impacts of climate change </w:t>
      </w:r>
      <w:r w:rsidR="00D6556C" w:rsidRPr="008B084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{"citationID":"V2JTdpqt","properties":{"formattedCitation":"(Eyring et al., 2021; IPCC, 2023)","plainCitation":"(Eyring et al., 2021; IPCC, 2023)","noteIndex":0},"citationItems":[{"id":1232,"uris":["http://zotero.org/groups/5125234/items/HZ3F7DPT"],"itemData":{"id":1232,"type":"chapter","abstract":"The Working Group I contribution to the Sixth Assessment Report is the most up-to-date physical understanding of the climate system and climate change, bringing together the latest advances in climate science, and combining multiple lines of evidence from paleoclimate, observations, process understanding, and global and regional climate simulations.","container-title":"IPCC Sixth Assessment Report","publisher":"Cambridge University Press","source":"elib.dlr.de","title":"Human Influence on the Climate System. In Climate Change 2021: The Physical Science Basis. Contribution of Working Group I to the Sixth Assessment Report of the Intergovernmental Panel on Climate Change","title-short":"Human Influence on the Climate System. In Climate Change 2021","URL":"https://www.ipcc.ch/report/sixth-assessment-report-working-group-i/","author":[{"family":"Eyring","given":"Veronika"},{"family":"Gillett","given":"N. P."},{"family":"Achutarao","given":"Krishna"},{"family":"Barimalala","given":"Rondrotiana"},{"family":"Barreiro Parrillo","given":"Marcelo"},{"family":"Bellouin","given":"Nicolas"},{"family":"Cassou","given":"Christophe"},{"family":"Durack","given":"Paul"},{"family":"Kosaka","given":"Yu"},{"family":"McGregor","given":"Shayne"},{"family":"Min","given":"Seung-ki"},{"family":"Morgenstern","given":"O."},{"family":"Sun","given":"Ying"}],"editor":[{"family":"Masson-Delmotte","given":"Valérie"},{"family":"Zhai","given":"V."},{"family":"Pirani","given":"Anna"},{"family":"Conners","given":"S. L."},{"family":"Péan","given":"C."},{"family":"Berger","given":"S."},{"family":"Caud","given":"N."},{"family":"Chen","given":"Y."},{"family":"Goldfarb","given":"Leah"},{"family":"Gomis","given":"M. I."},{"family":"Huang","given":"M."},{"family":"Leitzell","given":"K."},{"family":"Lonnoy","given":"E."},{"family":"Matthews","given":"J. B. R."},{"family":"Maycock","given":"T. K."},{"family":"Waterfield","given":"T."},{"family":"Yelekçi","given":"O."},{"family":"Yu","given":"R."},{"family":"Zhou","given":"B."}],"accessed":{"date-parts":[["2024",2,27]]},"issued":{"date-parts":[["2021"]]}}},{"id":1064,"uris":["http://zotero.org/groups/5125234/items/ZJR9EKDD"],"itemData":{"id":1064,"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Core.","edition":"1","ISBN":"978-1-00-932584-4","language":"en","note":"DOI: 10.1017/9781009325844","publisher":"Cambridge University Press","source":"DOI.org (Crossref)","title":"Climate Change 2022 – Impacts, Adaptation and Vulnerability: Working Group II Contribution to the Sixth Assessment Report of the Intergovernmental Panel on Climate Change","title-short":"Climate Change 2022 – Impacts, Adaptation and Vulnerability","URL":"https://www.cambridge.org/core/product/identifier/9781009325844/type/book","author":[{"literal":"IPCC"}],"accessed":{"date-parts":[["2024",2,1]]},"issued":{"date-parts":[["2023",6,22]]}}}],"schema":"https://github.com/citation-style-language/schema/raw/master/csl-citation.json"} </w:instrText>
      </w:r>
      <w:r w:rsidR="00D6556C" w:rsidRPr="008B084B">
        <w:rPr>
          <w:rFonts w:ascii="Open Sans" w:hAnsi="Open Sans" w:cs="Open Sans"/>
          <w:sz w:val="20"/>
          <w:szCs w:val="20"/>
        </w:rPr>
        <w:fldChar w:fldCharType="separate"/>
      </w:r>
      <w:r w:rsidR="00D6556C" w:rsidRPr="008B084B">
        <w:rPr>
          <w:rFonts w:ascii="Open Sans" w:hAnsi="Open Sans" w:cs="Open Sans"/>
          <w:sz w:val="20"/>
          <w:szCs w:val="20"/>
        </w:rPr>
        <w:t>(Eyring et al., 2021; IPCC, 2023)</w:t>
      </w:r>
      <w:r w:rsidR="00D6556C" w:rsidRPr="008B084B">
        <w:rPr>
          <w:rFonts w:ascii="Open Sans" w:hAnsi="Open Sans" w:cs="Open Sans"/>
          <w:sz w:val="20"/>
          <w:szCs w:val="20"/>
        </w:rPr>
        <w:fldChar w:fldCharType="end"/>
      </w:r>
      <w:r w:rsidR="00D6556C" w:rsidRPr="008B084B">
        <w:rPr>
          <w:rFonts w:ascii="Open Sans" w:hAnsi="Open Sans" w:cs="Open Sans"/>
          <w:sz w:val="20"/>
          <w:szCs w:val="20"/>
        </w:rPr>
        <w:t xml:space="preserve">. </w:t>
      </w:r>
    </w:p>
    <w:p w14:paraId="39BB067A" w14:textId="77777777" w:rsidR="00933022" w:rsidRDefault="00933022" w:rsidP="00D6556C">
      <w:pPr>
        <w:spacing w:line="240" w:lineRule="auto"/>
        <w:jc w:val="both"/>
        <w:rPr>
          <w:rFonts w:ascii="Open Sans" w:hAnsi="Open Sans" w:cs="Open Sans"/>
          <w:sz w:val="20"/>
          <w:szCs w:val="20"/>
        </w:rPr>
      </w:pPr>
    </w:p>
    <w:p w14:paraId="295469FC" w14:textId="7CCF85AE" w:rsidR="00D6556C" w:rsidRPr="00845917" w:rsidRDefault="004D695D" w:rsidP="00845917">
      <w:pPr>
        <w:pStyle w:val="Heading2"/>
        <w:spacing w:before="160" w:after="120" w:line="240" w:lineRule="auto"/>
        <w:ind w:left="576" w:hanging="576"/>
        <w:jc w:val="both"/>
        <w:rPr>
          <w:rFonts w:ascii="Open Sans" w:hAnsi="Open Sans"/>
          <w:sz w:val="20"/>
        </w:rPr>
      </w:pPr>
      <w:r w:rsidRPr="00845917">
        <w:rPr>
          <w:rFonts w:ascii="Open Sans" w:hAnsi="Open Sans"/>
          <w:sz w:val="20"/>
        </w:rPr>
        <w:t xml:space="preserve">Data </w:t>
      </w:r>
      <w:r w:rsidR="00A44B6B" w:rsidRPr="00845917">
        <w:rPr>
          <w:rFonts w:ascii="Open Sans" w:hAnsi="Open Sans"/>
          <w:sz w:val="20"/>
        </w:rPr>
        <w:t xml:space="preserve">used </w:t>
      </w:r>
      <w:r w:rsidRPr="00845917">
        <w:rPr>
          <w:rFonts w:ascii="Open Sans" w:hAnsi="Open Sans"/>
          <w:sz w:val="20"/>
        </w:rPr>
        <w:t xml:space="preserve">for climate </w:t>
      </w:r>
      <w:r w:rsidR="002A22B2" w:rsidRPr="00845917">
        <w:rPr>
          <w:rFonts w:ascii="Open Sans" w:hAnsi="Open Sans"/>
          <w:sz w:val="20"/>
        </w:rPr>
        <w:t>hazards</w:t>
      </w:r>
      <w:r w:rsidR="00C72C8D" w:rsidRPr="00845917">
        <w:rPr>
          <w:rFonts w:ascii="Open Sans" w:hAnsi="Open Sans"/>
          <w:sz w:val="20"/>
        </w:rPr>
        <w:t xml:space="preserve"> and ongoing </w:t>
      </w:r>
      <w:proofErr w:type="gramStart"/>
      <w:r w:rsidR="00C72C8D" w:rsidRPr="00845917">
        <w:rPr>
          <w:rFonts w:ascii="Open Sans" w:hAnsi="Open Sans"/>
          <w:sz w:val="20"/>
        </w:rPr>
        <w:t>work</w:t>
      </w:r>
      <w:proofErr w:type="gramEnd"/>
    </w:p>
    <w:p w14:paraId="0E3C790B" w14:textId="77777777" w:rsidR="004D695D" w:rsidRDefault="004D695D" w:rsidP="004D695D"/>
    <w:p w14:paraId="55FEBA35" w14:textId="234EC42D" w:rsidR="00933022" w:rsidRDefault="00933022" w:rsidP="00DB734E">
      <w:pPr>
        <w:spacing w:after="0" w:line="240" w:lineRule="auto"/>
        <w:ind w:right="75"/>
        <w:jc w:val="both"/>
        <w:textAlignment w:val="baseline"/>
        <w:rPr>
          <w:rFonts w:ascii="Open Sans" w:eastAsia="Times New Roman" w:hAnsi="Open Sans" w:cs="Open Sans"/>
          <w:sz w:val="20"/>
          <w:szCs w:val="20"/>
        </w:rPr>
      </w:pPr>
      <w:r w:rsidRPr="00077757">
        <w:rPr>
          <w:rFonts w:ascii="Open Sans" w:eastAsia="Times New Roman" w:hAnsi="Open Sans" w:cs="Open Sans"/>
          <w:sz w:val="20"/>
          <w:szCs w:val="20"/>
        </w:rPr>
        <w:lastRenderedPageBreak/>
        <w:t>The</w:t>
      </w:r>
      <w:r w:rsidR="00482E6D">
        <w:rPr>
          <w:rFonts w:ascii="Open Sans" w:eastAsia="Times New Roman" w:hAnsi="Open Sans" w:cs="Open Sans"/>
          <w:sz w:val="20"/>
          <w:szCs w:val="20"/>
        </w:rPr>
        <w:t xml:space="preserve"> livable planet</w:t>
      </w:r>
      <w:r w:rsidR="0076701B">
        <w:rPr>
          <w:rFonts w:ascii="Open Sans" w:eastAsia="Times New Roman" w:hAnsi="Open Sans" w:cs="Open Sans"/>
          <w:sz w:val="20"/>
          <w:szCs w:val="20"/>
        </w:rPr>
        <w:t xml:space="preserve"> indicator</w:t>
      </w:r>
      <w:r w:rsidR="00482E6D">
        <w:rPr>
          <w:rFonts w:ascii="Open Sans" w:eastAsia="Times New Roman" w:hAnsi="Open Sans" w:cs="Open Sans"/>
          <w:sz w:val="20"/>
          <w:szCs w:val="20"/>
        </w:rPr>
        <w:t xml:space="preserve"> on the</w:t>
      </w:r>
      <w:r w:rsidRPr="00077757">
        <w:rPr>
          <w:rFonts w:ascii="Open Sans" w:eastAsia="Times New Roman" w:hAnsi="Open Sans" w:cs="Open Sans"/>
          <w:sz w:val="20"/>
          <w:szCs w:val="20"/>
        </w:rPr>
        <w:t xml:space="preserve"> </w:t>
      </w:r>
      <w:r w:rsidRPr="00077757">
        <w:rPr>
          <w:rFonts w:ascii="Open Sans" w:eastAsia="Times New Roman" w:hAnsi="Open Sans" w:cs="Open Sans"/>
          <w:i/>
          <w:iCs/>
          <w:sz w:val="20"/>
          <w:szCs w:val="20"/>
        </w:rPr>
        <w:t>percentage of people at high risk from climate-related hazards globally</w:t>
      </w:r>
      <w:r w:rsidRPr="00077757">
        <w:rPr>
          <w:rFonts w:ascii="Open Sans" w:eastAsia="Times New Roman" w:hAnsi="Open Sans" w:cs="Open Sans"/>
          <w:sz w:val="20"/>
          <w:szCs w:val="20"/>
        </w:rPr>
        <w:t xml:space="preserve"> is defined as the number of people globally who are both exposed to a set of key climate-related hazards (floods, droughts, cyclones, and heatwaves) and are also highly vulnerable (i.e., have a propensity to be adversely affected or unable to cope with the impacts), as a share of global population. Specifically, people are counted as at high risk from climate-related hazards if they are exposed to at least one hazard and are identified as highly vulnerable on at least one dimension of vulnerability</w:t>
      </w:r>
      <w:r w:rsidR="00A0322E">
        <w:rPr>
          <w:rFonts w:ascii="Open Sans" w:eastAsia="Times New Roman" w:hAnsi="Open Sans" w:cs="Open Sans"/>
          <w:sz w:val="20"/>
          <w:szCs w:val="20"/>
        </w:rPr>
        <w:t xml:space="preserve">. </w:t>
      </w:r>
      <w:r w:rsidR="008D572E" w:rsidRPr="00077757">
        <w:rPr>
          <w:rFonts w:ascii="Open Sans" w:eastAsia="Times New Roman" w:hAnsi="Open Sans" w:cs="Open Sans"/>
          <w:sz w:val="20"/>
          <w:szCs w:val="20"/>
        </w:rPr>
        <w:t>Next</w:t>
      </w:r>
      <w:r w:rsidR="00F56F75">
        <w:rPr>
          <w:rFonts w:ascii="Open Sans" w:eastAsia="Times New Roman" w:hAnsi="Open Sans" w:cs="Open Sans"/>
          <w:sz w:val="20"/>
          <w:szCs w:val="20"/>
        </w:rPr>
        <w:t>,</w:t>
      </w:r>
      <w:r w:rsidR="008D572E" w:rsidRPr="00077757">
        <w:rPr>
          <w:rFonts w:ascii="Open Sans" w:eastAsia="Times New Roman" w:hAnsi="Open Sans" w:cs="Open Sans"/>
          <w:sz w:val="20"/>
          <w:szCs w:val="20"/>
        </w:rPr>
        <w:t xml:space="preserve"> we summarize key data sources </w:t>
      </w:r>
      <w:r w:rsidR="002A22B2" w:rsidRPr="00077757">
        <w:rPr>
          <w:rFonts w:ascii="Open Sans" w:eastAsia="Times New Roman" w:hAnsi="Open Sans" w:cs="Open Sans"/>
          <w:sz w:val="20"/>
          <w:szCs w:val="20"/>
        </w:rPr>
        <w:t>related to hazards</w:t>
      </w:r>
      <w:r w:rsidR="000208B6">
        <w:rPr>
          <w:rFonts w:ascii="Open Sans" w:eastAsia="Times New Roman" w:hAnsi="Open Sans" w:cs="Open Sans"/>
          <w:sz w:val="20"/>
          <w:szCs w:val="20"/>
        </w:rPr>
        <w:t xml:space="preserve"> and ongoing work to improve </w:t>
      </w:r>
      <w:r w:rsidR="00370B7A">
        <w:rPr>
          <w:rFonts w:ascii="Open Sans" w:eastAsia="Times New Roman" w:hAnsi="Open Sans" w:cs="Open Sans"/>
          <w:sz w:val="20"/>
          <w:szCs w:val="20"/>
        </w:rPr>
        <w:t>the data estimates</w:t>
      </w:r>
      <w:r w:rsidR="008D572E" w:rsidRPr="00077757">
        <w:rPr>
          <w:rFonts w:ascii="Open Sans" w:eastAsia="Times New Roman" w:hAnsi="Open Sans" w:cs="Open Sans"/>
          <w:sz w:val="20"/>
          <w:szCs w:val="20"/>
        </w:rPr>
        <w:t xml:space="preserve">. More information can be found in Doan et al </w:t>
      </w:r>
      <w:r w:rsidR="00A73364">
        <w:rPr>
          <w:rFonts w:ascii="Open Sans" w:eastAsia="Times New Roman" w:hAnsi="Open Sans" w:cs="Open Sans"/>
          <w:sz w:val="20"/>
          <w:szCs w:val="20"/>
        </w:rPr>
        <w:fldChar w:fldCharType="begin"/>
      </w:r>
      <w:r w:rsidR="00A73364">
        <w:rPr>
          <w:rFonts w:ascii="Open Sans" w:eastAsia="Times New Roman" w:hAnsi="Open Sans" w:cs="Open Sans"/>
          <w:sz w:val="20"/>
          <w:szCs w:val="20"/>
        </w:rPr>
        <w:instrText xml:space="preserve"> ADDIN ZOTERO_ITEM CSL_CITATION {"citationID":"hMFeU95F","properties":{"formattedCitation":"(2023)","plainCitation":"(2023)","noteIndex":0},"citationItems":[{"id":928,"uris":["http://zotero.org/groups/5125234/items/56UW5IKV"],"itemData":{"id":928,"type":"book","language":"en","note":"DOI: 10.1596/1813-9450-10619","publisher":"World Bank, Washington, DC","source":"DOI.org (Crossref)","title":"Counting People Exposed to, Vulnerable to, or at High Risk From Climate Shocks: A Methodology","title-short":"Counting People Exposed to, Vulnerable to, or at High Risk From Climate Shocks","URL":"https://openknowledge.worldbank.org/handle/10986/40685","author":[{"family":"Doan","given":"Miki Khanh"},{"family":"Hill","given":"Ruth"},{"family":"Hallegatte","given":"Stephane"},{"family":"Corral","given":"Paul"},{"family":"Brunckhorst","given":"Ben"},{"family":"Nguyen","given":"Minh"},{"family":"Freije-Rodriguez","given":"Samuel"},{"family":"Naikal","given":"Esther"}],"accessed":{"date-parts":[["2023",12,14]]},"issued":{"date-parts":[["2023",12,4]]}},"label":"page","suppress-author":true}],"schema":"https://github.com/citation-style-language/schema/raw/master/csl-citation.json"} </w:instrText>
      </w:r>
      <w:r w:rsidR="00A73364">
        <w:rPr>
          <w:rFonts w:ascii="Open Sans" w:eastAsia="Times New Roman" w:hAnsi="Open Sans" w:cs="Open Sans"/>
          <w:sz w:val="20"/>
          <w:szCs w:val="20"/>
        </w:rPr>
        <w:fldChar w:fldCharType="separate"/>
      </w:r>
      <w:r w:rsidR="00A73364" w:rsidRPr="00A73364">
        <w:rPr>
          <w:rFonts w:ascii="Open Sans" w:hAnsi="Open Sans" w:cs="Open Sans"/>
          <w:sz w:val="20"/>
        </w:rPr>
        <w:t>(2023)</w:t>
      </w:r>
      <w:r w:rsidR="00A73364">
        <w:rPr>
          <w:rFonts w:ascii="Open Sans" w:eastAsia="Times New Roman" w:hAnsi="Open Sans" w:cs="Open Sans"/>
          <w:sz w:val="20"/>
          <w:szCs w:val="20"/>
        </w:rPr>
        <w:fldChar w:fldCharType="end"/>
      </w:r>
      <w:r w:rsidR="008D572E" w:rsidRPr="00077757">
        <w:rPr>
          <w:rFonts w:ascii="Open Sans" w:eastAsia="Times New Roman" w:hAnsi="Open Sans" w:cs="Open Sans"/>
          <w:sz w:val="20"/>
          <w:szCs w:val="20"/>
        </w:rPr>
        <w:t>.</w:t>
      </w:r>
      <w:r w:rsidR="00DB734E" w:rsidRPr="00077757">
        <w:rPr>
          <w:rFonts w:ascii="Open Sans" w:eastAsia="Times New Roman" w:hAnsi="Open Sans" w:cs="Open Sans"/>
          <w:sz w:val="20"/>
          <w:szCs w:val="20"/>
        </w:rPr>
        <w:t xml:space="preserve">  </w:t>
      </w:r>
    </w:p>
    <w:p w14:paraId="6D392FDB" w14:textId="77777777" w:rsidR="00EE07CB" w:rsidRDefault="00EE07CB" w:rsidP="00DB734E">
      <w:pPr>
        <w:spacing w:after="0" w:line="240" w:lineRule="auto"/>
        <w:ind w:right="75"/>
        <w:jc w:val="both"/>
        <w:textAlignment w:val="baseline"/>
        <w:rPr>
          <w:rFonts w:ascii="Open Sans" w:eastAsia="Times New Roman" w:hAnsi="Open Sans" w:cs="Open Sans"/>
          <w:sz w:val="20"/>
          <w:szCs w:val="20"/>
        </w:rPr>
      </w:pPr>
    </w:p>
    <w:p w14:paraId="08768343" w14:textId="77777777" w:rsidR="00EE07CB" w:rsidRPr="00BB7417" w:rsidRDefault="00EE07CB" w:rsidP="00EE07CB">
      <w:pPr>
        <w:spacing w:after="0" w:line="240" w:lineRule="auto"/>
        <w:ind w:right="75"/>
        <w:jc w:val="both"/>
        <w:textAlignment w:val="baseline"/>
        <w:rPr>
          <w:rFonts w:ascii="Open Sans" w:hAnsi="Open Sans" w:cs="Open Sans"/>
          <w:b/>
          <w:bCs/>
          <w:sz w:val="20"/>
          <w:szCs w:val="20"/>
        </w:rPr>
      </w:pPr>
    </w:p>
    <w:p w14:paraId="459662E7" w14:textId="0FCC87FC" w:rsidR="00EE07CB" w:rsidRPr="00BB7417" w:rsidRDefault="00BB1D58" w:rsidP="00EE07CB">
      <w:pPr>
        <w:spacing w:after="0" w:line="240" w:lineRule="auto"/>
        <w:ind w:right="75"/>
        <w:textAlignment w:val="baseline"/>
        <w:rPr>
          <w:rFonts w:ascii="Open Sans" w:eastAsia="Times New Roman" w:hAnsi="Open Sans" w:cs="Open Sans"/>
          <w:b/>
          <w:bCs/>
          <w:i/>
          <w:iCs/>
          <w:sz w:val="20"/>
          <w:szCs w:val="20"/>
        </w:rPr>
      </w:pPr>
      <w:r>
        <w:rPr>
          <w:rFonts w:ascii="Open Sans" w:eastAsia="Times New Roman" w:hAnsi="Open Sans" w:cs="Open Sans"/>
          <w:b/>
          <w:bCs/>
          <w:i/>
          <w:iCs/>
          <w:sz w:val="20"/>
          <w:szCs w:val="20"/>
        </w:rPr>
        <w:t>D</w:t>
      </w:r>
      <w:r w:rsidR="00EE07CB" w:rsidRPr="00BB7417">
        <w:rPr>
          <w:rFonts w:ascii="Open Sans" w:eastAsia="Times New Roman" w:hAnsi="Open Sans" w:cs="Open Sans"/>
          <w:b/>
          <w:bCs/>
          <w:i/>
          <w:iCs/>
          <w:sz w:val="20"/>
          <w:szCs w:val="20"/>
        </w:rPr>
        <w:t>rought</w:t>
      </w:r>
      <w:r w:rsidR="00D62906">
        <w:rPr>
          <w:rFonts w:ascii="Open Sans" w:eastAsia="Times New Roman" w:hAnsi="Open Sans" w:cs="Open Sans"/>
          <w:b/>
          <w:bCs/>
          <w:i/>
          <w:iCs/>
          <w:sz w:val="20"/>
          <w:szCs w:val="20"/>
        </w:rPr>
        <w:t>s</w:t>
      </w:r>
      <w:r w:rsidR="00EE07CB" w:rsidRPr="00BB7417">
        <w:rPr>
          <w:rFonts w:ascii="Open Sans" w:eastAsia="Times New Roman" w:hAnsi="Open Sans" w:cs="Open Sans"/>
          <w:b/>
          <w:bCs/>
          <w:i/>
          <w:iCs/>
          <w:sz w:val="20"/>
          <w:szCs w:val="20"/>
        </w:rPr>
        <w:t xml:space="preserve">: </w:t>
      </w:r>
    </w:p>
    <w:p w14:paraId="65A70C86" w14:textId="248542AA" w:rsidR="001C4622" w:rsidRDefault="001C4622" w:rsidP="001C4622">
      <w:pPr>
        <w:spacing w:after="0" w:line="240" w:lineRule="auto"/>
        <w:ind w:right="75"/>
        <w:jc w:val="both"/>
        <w:textAlignment w:val="baseline"/>
        <w:rPr>
          <w:rFonts w:ascii="Open Sans" w:eastAsia="Times New Roman" w:hAnsi="Open Sans" w:cs="Open Sans"/>
          <w:sz w:val="20"/>
          <w:szCs w:val="20"/>
        </w:rPr>
      </w:pPr>
      <w:r w:rsidRPr="001C4622">
        <w:rPr>
          <w:rFonts w:ascii="Open Sans" w:eastAsia="Times New Roman" w:hAnsi="Open Sans" w:cs="Open Sans"/>
          <w:sz w:val="20"/>
          <w:szCs w:val="20"/>
        </w:rPr>
        <w:t>The indicator uses Historic Agricultural Drought Frequency data from the FAO, depicting the annual frequency of severe drought events from 1984 to 2022. These events are defined using the Agricultural Stress Index (ASI), based on remote sensing vegetation (NDVI) and land surface temperature (BT4) data, combined with historical agricultural cropping cycles. Severe drought is identified when a Vegetation Health Index (VHI) falls below 35</w:t>
      </w:r>
      <w:r w:rsidR="0021074E">
        <w:rPr>
          <w:rFonts w:ascii="Open Sans" w:eastAsia="Times New Roman" w:hAnsi="Open Sans" w:cs="Open Sans"/>
          <w:sz w:val="20"/>
          <w:szCs w:val="20"/>
        </w:rPr>
        <w:t xml:space="preserve"> percent</w:t>
      </w:r>
      <w:r w:rsidRPr="001C4622">
        <w:rPr>
          <w:rFonts w:ascii="Open Sans" w:eastAsia="Times New Roman" w:hAnsi="Open Sans" w:cs="Open Sans"/>
          <w:sz w:val="20"/>
          <w:szCs w:val="20"/>
        </w:rPr>
        <w:t xml:space="preserve"> over a growing season. The ASI value represents the percentage of affected crop or grassland pixels within each administrative unit.</w:t>
      </w:r>
      <w:r w:rsidR="0021074E">
        <w:rPr>
          <w:rFonts w:ascii="Open Sans" w:eastAsia="Times New Roman" w:hAnsi="Open Sans" w:cs="Open Sans"/>
          <w:sz w:val="20"/>
          <w:szCs w:val="20"/>
        </w:rPr>
        <w:t xml:space="preserve">  </w:t>
      </w:r>
      <w:r w:rsidRPr="001C4622">
        <w:rPr>
          <w:rFonts w:ascii="Open Sans" w:eastAsia="Times New Roman" w:hAnsi="Open Sans" w:cs="Open Sans"/>
          <w:sz w:val="20"/>
          <w:szCs w:val="20"/>
        </w:rPr>
        <w:t>Annual frequencies are converted into approximate return periods, with any location recording at least one severe drought from 1984 to 2022 considered exposed to a 39-year return period event. The dataset, restricted to rural areas, maps regions where more than 30 or 50</w:t>
      </w:r>
      <w:r w:rsidR="000824E4">
        <w:rPr>
          <w:rFonts w:ascii="Open Sans" w:eastAsia="Times New Roman" w:hAnsi="Open Sans" w:cs="Open Sans"/>
          <w:sz w:val="20"/>
          <w:szCs w:val="20"/>
        </w:rPr>
        <w:t xml:space="preserve"> percent</w:t>
      </w:r>
      <w:r w:rsidRPr="001C4622">
        <w:rPr>
          <w:rFonts w:ascii="Open Sans" w:eastAsia="Times New Roman" w:hAnsi="Open Sans" w:cs="Open Sans"/>
          <w:sz w:val="20"/>
          <w:szCs w:val="20"/>
        </w:rPr>
        <w:t xml:space="preserve"> of cropland or grassland was affected in any growing season, with return periods ranging from 5 to 39 years based on historical frequency. </w:t>
      </w:r>
      <w:r w:rsidR="00A2341A">
        <w:rPr>
          <w:rFonts w:ascii="Open Sans" w:eastAsia="Times New Roman" w:hAnsi="Open Sans" w:cs="Open Sans"/>
          <w:sz w:val="20"/>
          <w:szCs w:val="20"/>
        </w:rPr>
        <w:t xml:space="preserve">An area of ongoing work is </w:t>
      </w:r>
      <w:r w:rsidRPr="001C4622">
        <w:rPr>
          <w:rFonts w:ascii="Open Sans" w:eastAsia="Times New Roman" w:hAnsi="Open Sans" w:cs="Open Sans"/>
          <w:sz w:val="20"/>
          <w:szCs w:val="20"/>
        </w:rPr>
        <w:t>to generate probabilistic estimates of drought using this data</w:t>
      </w:r>
      <w:r w:rsidR="00931FE0">
        <w:rPr>
          <w:rFonts w:ascii="Open Sans" w:eastAsia="Times New Roman" w:hAnsi="Open Sans" w:cs="Open Sans"/>
          <w:sz w:val="20"/>
          <w:szCs w:val="20"/>
        </w:rPr>
        <w:t>, to derive 100-year return periods which are used for the other hazards</w:t>
      </w:r>
      <w:r w:rsidRPr="001C4622">
        <w:rPr>
          <w:rFonts w:ascii="Open Sans" w:eastAsia="Times New Roman" w:hAnsi="Open Sans" w:cs="Open Sans"/>
          <w:sz w:val="20"/>
          <w:szCs w:val="20"/>
        </w:rPr>
        <w:t>.</w:t>
      </w:r>
    </w:p>
    <w:p w14:paraId="44AE11CD" w14:textId="7A6A936F" w:rsidR="00EE07CB" w:rsidRDefault="00EE07CB" w:rsidP="001C4622">
      <w:pPr>
        <w:spacing w:after="0" w:line="240" w:lineRule="auto"/>
        <w:ind w:right="75"/>
        <w:jc w:val="both"/>
        <w:textAlignment w:val="baseline"/>
        <w:rPr>
          <w:rFonts w:ascii="Open Sans" w:eastAsia="Times New Roman" w:hAnsi="Open Sans" w:cs="Open Sans"/>
          <w:sz w:val="20"/>
          <w:szCs w:val="20"/>
        </w:rPr>
      </w:pPr>
      <w:r w:rsidRPr="00BB7417">
        <w:rPr>
          <w:rFonts w:ascii="Open Sans" w:eastAsia="Times New Roman" w:hAnsi="Open Sans" w:cs="Open Sans"/>
          <w:sz w:val="20"/>
          <w:szCs w:val="20"/>
        </w:rPr>
        <w:t xml:space="preserve"> </w:t>
      </w:r>
    </w:p>
    <w:p w14:paraId="6A170DAE" w14:textId="1B522D3F" w:rsidR="00EE07CB" w:rsidRDefault="00EE07CB" w:rsidP="00EE07CB">
      <w:pPr>
        <w:spacing w:after="0" w:line="240" w:lineRule="auto"/>
        <w:ind w:right="75"/>
        <w:textAlignment w:val="baseline"/>
        <w:rPr>
          <w:rFonts w:ascii="Open Sans" w:eastAsia="Times New Roman" w:hAnsi="Open Sans" w:cs="Open Sans"/>
          <w:b/>
          <w:bCs/>
          <w:i/>
          <w:iCs/>
          <w:sz w:val="20"/>
          <w:szCs w:val="20"/>
        </w:rPr>
      </w:pPr>
      <w:r w:rsidRPr="00BB7417">
        <w:rPr>
          <w:rFonts w:ascii="Open Sans" w:eastAsia="Times New Roman" w:hAnsi="Open Sans" w:cs="Open Sans"/>
          <w:b/>
          <w:bCs/>
          <w:i/>
          <w:iCs/>
          <w:sz w:val="20"/>
          <w:szCs w:val="20"/>
        </w:rPr>
        <w:t>Flood</w:t>
      </w:r>
      <w:r w:rsidR="00D62906">
        <w:rPr>
          <w:rFonts w:ascii="Open Sans" w:eastAsia="Times New Roman" w:hAnsi="Open Sans" w:cs="Open Sans"/>
          <w:b/>
          <w:bCs/>
          <w:i/>
          <w:iCs/>
          <w:sz w:val="20"/>
          <w:szCs w:val="20"/>
        </w:rPr>
        <w:t>s</w:t>
      </w:r>
      <w:r w:rsidRPr="00BB7417">
        <w:rPr>
          <w:rFonts w:ascii="Open Sans" w:eastAsia="Times New Roman" w:hAnsi="Open Sans" w:cs="Open Sans"/>
          <w:b/>
          <w:bCs/>
          <w:i/>
          <w:iCs/>
          <w:sz w:val="20"/>
          <w:szCs w:val="20"/>
        </w:rPr>
        <w:t>:</w:t>
      </w:r>
    </w:p>
    <w:p w14:paraId="7748423C" w14:textId="51725B5A" w:rsidR="003D6CD5" w:rsidRDefault="003D6CD5" w:rsidP="003D6CD5">
      <w:pPr>
        <w:spacing w:after="0" w:line="240" w:lineRule="auto"/>
        <w:ind w:right="75"/>
        <w:jc w:val="both"/>
        <w:textAlignment w:val="baseline"/>
        <w:rPr>
          <w:rFonts w:ascii="Open Sans" w:eastAsia="Times New Roman" w:hAnsi="Open Sans" w:cs="Open Sans"/>
          <w:sz w:val="20"/>
          <w:szCs w:val="20"/>
        </w:rPr>
      </w:pPr>
      <w:r w:rsidRPr="003D6CD5">
        <w:rPr>
          <w:rFonts w:ascii="Open Sans" w:eastAsia="Times New Roman" w:hAnsi="Open Sans" w:cs="Open Sans"/>
          <w:sz w:val="20"/>
          <w:szCs w:val="20"/>
        </w:rPr>
        <w:t xml:space="preserve">The indicator utilizes modelled pluvial and fluvial flood maps from the 2019 Fathom Global 2.0 flood hazard dataset. Fluvial floods result from rivers overflowing due to intense precipitation or snowmelt, while pluvial floods occur from heavy rainfall leading to saturated soil or overwhelmed drainage systems. The Fathom dataset provides maximum inundation depths for these floods at a resolution of approximately 90 meters, covering return periods from 5 to 1,000 years. </w:t>
      </w:r>
      <w:r w:rsidR="00A2341A">
        <w:rPr>
          <w:rFonts w:ascii="Open Sans" w:eastAsia="Times New Roman" w:hAnsi="Open Sans" w:cs="Open Sans"/>
          <w:sz w:val="20"/>
          <w:szCs w:val="20"/>
        </w:rPr>
        <w:t>It is important to note that t</w:t>
      </w:r>
      <w:r w:rsidRPr="003D6CD5">
        <w:rPr>
          <w:rFonts w:ascii="Open Sans" w:eastAsia="Times New Roman" w:hAnsi="Open Sans" w:cs="Open Sans"/>
          <w:sz w:val="20"/>
          <w:szCs w:val="20"/>
        </w:rPr>
        <w:t>he data assumes no flood defenses, which might overestimate exposure in some regions, particularly those with effective flood protection.</w:t>
      </w:r>
    </w:p>
    <w:p w14:paraId="413C63B5" w14:textId="77777777" w:rsidR="003D6CD5" w:rsidRPr="003D6CD5" w:rsidRDefault="003D6CD5" w:rsidP="003D6CD5">
      <w:pPr>
        <w:spacing w:after="0" w:line="240" w:lineRule="auto"/>
        <w:ind w:right="75"/>
        <w:jc w:val="both"/>
        <w:textAlignment w:val="baseline"/>
        <w:rPr>
          <w:rFonts w:ascii="Open Sans" w:eastAsia="Times New Roman" w:hAnsi="Open Sans" w:cs="Open Sans"/>
          <w:sz w:val="20"/>
          <w:szCs w:val="20"/>
        </w:rPr>
      </w:pPr>
    </w:p>
    <w:p w14:paraId="73E08D92" w14:textId="21F8E955" w:rsidR="003D6CD5" w:rsidRPr="003D6CD5" w:rsidRDefault="003D6CD5" w:rsidP="00A2341A">
      <w:pPr>
        <w:spacing w:after="0" w:line="240" w:lineRule="auto"/>
        <w:ind w:right="75"/>
        <w:jc w:val="both"/>
        <w:textAlignment w:val="baseline"/>
        <w:rPr>
          <w:rFonts w:ascii="Open Sans" w:eastAsia="Times New Roman" w:hAnsi="Open Sans" w:cs="Open Sans"/>
          <w:sz w:val="20"/>
          <w:szCs w:val="20"/>
        </w:rPr>
      </w:pPr>
      <w:r w:rsidRPr="003D6CD5">
        <w:rPr>
          <w:rFonts w:ascii="Open Sans" w:eastAsia="Times New Roman" w:hAnsi="Open Sans" w:cs="Open Sans"/>
          <w:sz w:val="20"/>
          <w:szCs w:val="20"/>
        </w:rPr>
        <w:t xml:space="preserve">For coastal flooding, a separate dataset by </w:t>
      </w:r>
      <w:proofErr w:type="spellStart"/>
      <w:r w:rsidRPr="003D6CD5">
        <w:rPr>
          <w:rFonts w:ascii="Open Sans" w:eastAsia="Times New Roman" w:hAnsi="Open Sans" w:cs="Open Sans"/>
          <w:sz w:val="20"/>
          <w:szCs w:val="20"/>
        </w:rPr>
        <w:t>Deltares</w:t>
      </w:r>
      <w:proofErr w:type="spellEnd"/>
      <w:r w:rsidRPr="003D6CD5">
        <w:rPr>
          <w:rFonts w:ascii="Open Sans" w:eastAsia="Times New Roman" w:hAnsi="Open Sans" w:cs="Open Sans"/>
          <w:sz w:val="20"/>
          <w:szCs w:val="20"/>
        </w:rPr>
        <w:t xml:space="preserve"> (2021) is used, which models flooding caused by tides and storm surges at the same resolution and using the same digital elevation model as Fathom 2.0. The coastal flood data depicts maximum depths for return periods from 0 to 250 years.</w:t>
      </w:r>
      <w:r w:rsidR="00A2341A">
        <w:rPr>
          <w:rFonts w:ascii="Open Sans" w:eastAsia="Times New Roman" w:hAnsi="Open Sans" w:cs="Open Sans"/>
          <w:sz w:val="20"/>
          <w:szCs w:val="20"/>
        </w:rPr>
        <w:t xml:space="preserve"> </w:t>
      </w:r>
      <w:r w:rsidRPr="003D6CD5">
        <w:rPr>
          <w:rFonts w:ascii="Open Sans" w:eastAsia="Times New Roman" w:hAnsi="Open Sans" w:cs="Open Sans"/>
          <w:sz w:val="20"/>
          <w:szCs w:val="20"/>
        </w:rPr>
        <w:t>The Fathom flood maps for 231 countries were merged to create global fluvial and pluvial maps for each return period, which were then combined with the global coastal flood maps to produce a comprehensive global flood hazard map. This map, covering return periods from 5 to 100 years, shows the maximum inundation depth of any flood type. An update to Fathom 3.0 is planned for the coming year.</w:t>
      </w:r>
    </w:p>
    <w:p w14:paraId="6901573D" w14:textId="77777777" w:rsidR="00EE07CB" w:rsidRDefault="00EE07CB" w:rsidP="00EE07CB">
      <w:pPr>
        <w:spacing w:after="0" w:line="240" w:lineRule="auto"/>
        <w:ind w:right="75"/>
        <w:jc w:val="both"/>
        <w:textAlignment w:val="baseline"/>
        <w:rPr>
          <w:rFonts w:ascii="Open Sans" w:eastAsia="Times New Roman" w:hAnsi="Open Sans" w:cs="Open Sans"/>
          <w:sz w:val="20"/>
          <w:szCs w:val="20"/>
        </w:rPr>
      </w:pPr>
    </w:p>
    <w:p w14:paraId="588CBA97" w14:textId="05C02774" w:rsidR="00EE07CB" w:rsidRPr="00BB7417" w:rsidRDefault="00EE07CB" w:rsidP="00EE07CB">
      <w:pPr>
        <w:spacing w:after="0" w:line="240" w:lineRule="auto"/>
        <w:ind w:right="75"/>
        <w:textAlignment w:val="baseline"/>
        <w:rPr>
          <w:rFonts w:ascii="Open Sans" w:eastAsia="Times New Roman" w:hAnsi="Open Sans" w:cs="Open Sans"/>
          <w:b/>
          <w:bCs/>
          <w:i/>
          <w:iCs/>
          <w:sz w:val="20"/>
          <w:szCs w:val="20"/>
        </w:rPr>
      </w:pPr>
      <w:r w:rsidRPr="00BB7417">
        <w:rPr>
          <w:rFonts w:ascii="Open Sans" w:eastAsia="Times New Roman" w:hAnsi="Open Sans" w:cs="Open Sans"/>
          <w:b/>
          <w:bCs/>
          <w:i/>
          <w:iCs/>
          <w:sz w:val="20"/>
          <w:szCs w:val="20"/>
        </w:rPr>
        <w:t>Heatwave</w:t>
      </w:r>
      <w:r w:rsidR="00D62906">
        <w:rPr>
          <w:rFonts w:ascii="Open Sans" w:eastAsia="Times New Roman" w:hAnsi="Open Sans" w:cs="Open Sans"/>
          <w:b/>
          <w:bCs/>
          <w:i/>
          <w:iCs/>
          <w:sz w:val="20"/>
          <w:szCs w:val="20"/>
        </w:rPr>
        <w:t>s</w:t>
      </w:r>
      <w:r w:rsidRPr="00BB7417">
        <w:rPr>
          <w:rFonts w:ascii="Open Sans" w:eastAsia="Times New Roman" w:hAnsi="Open Sans" w:cs="Open Sans"/>
          <w:b/>
          <w:bCs/>
          <w:i/>
          <w:iCs/>
          <w:sz w:val="20"/>
          <w:szCs w:val="20"/>
        </w:rPr>
        <w:t>:</w:t>
      </w:r>
    </w:p>
    <w:p w14:paraId="64140550" w14:textId="47DDFC72" w:rsidR="00EE07CB" w:rsidRDefault="00056EBE" w:rsidP="00EE07CB">
      <w:pPr>
        <w:spacing w:after="0" w:line="240" w:lineRule="auto"/>
        <w:ind w:right="75"/>
        <w:jc w:val="both"/>
        <w:textAlignment w:val="baseline"/>
        <w:rPr>
          <w:rFonts w:ascii="Open Sans" w:eastAsia="Times New Roman" w:hAnsi="Open Sans" w:cs="Open Sans"/>
          <w:sz w:val="20"/>
          <w:szCs w:val="20"/>
        </w:rPr>
      </w:pPr>
      <w:r w:rsidRPr="00056EBE">
        <w:rPr>
          <w:rFonts w:ascii="Open Sans" w:eastAsia="Times New Roman" w:hAnsi="Open Sans" w:cs="Open Sans"/>
          <w:sz w:val="20"/>
          <w:szCs w:val="20"/>
        </w:rPr>
        <w:t xml:space="preserve">The indicator uses modelled 5-day heatwave maps from the World Bank Climate Change Knowledge Portal (CCKP). This probabilistic dataset shows the maximum 5-day average of the daily maximum Environmental Stress Index (ESI) at a resolution of approximately 30 km for return periods between 5 and 100 years. The ESI approximates the Wet Bulb Globe Temperature (WBGT) using temperature, </w:t>
      </w:r>
      <w:r w:rsidRPr="00056EBE">
        <w:rPr>
          <w:rFonts w:ascii="Open Sans" w:eastAsia="Times New Roman" w:hAnsi="Open Sans" w:cs="Open Sans"/>
          <w:sz w:val="20"/>
          <w:szCs w:val="20"/>
        </w:rPr>
        <w:lastRenderedPageBreak/>
        <w:t>relative humidity, and solar radiation, adjusted for systematic underestimation from solar radiation. Derived from hourly ERA5 climate reanalysis data, the maximum 5-day average was calculated for each year from 1950-2022, detrended, and fit to generalized extreme value distributions to estimate return levels for a 5-day heatwave event. Ongoing work aims to develop a more spatially detailed measure of heat</w:t>
      </w:r>
      <w:r w:rsidR="00C2232B">
        <w:rPr>
          <w:rFonts w:ascii="Open Sans" w:eastAsia="Times New Roman" w:hAnsi="Open Sans" w:cs="Open Sans"/>
          <w:sz w:val="20"/>
          <w:szCs w:val="20"/>
        </w:rPr>
        <w:t xml:space="preserve">, </w:t>
      </w:r>
      <w:r w:rsidR="00AB1A61">
        <w:rPr>
          <w:rFonts w:ascii="Open Sans" w:eastAsia="Times New Roman" w:hAnsi="Open Sans" w:cs="Open Sans"/>
          <w:sz w:val="20"/>
          <w:szCs w:val="20"/>
        </w:rPr>
        <w:t xml:space="preserve">to </w:t>
      </w:r>
      <w:r w:rsidR="00606525">
        <w:rPr>
          <w:rFonts w:ascii="Open Sans" w:eastAsia="Times New Roman" w:hAnsi="Open Sans" w:cs="Open Sans"/>
          <w:sz w:val="20"/>
          <w:szCs w:val="20"/>
        </w:rPr>
        <w:t>increase measurement accuracy and</w:t>
      </w:r>
      <w:r w:rsidR="00AB1A61">
        <w:rPr>
          <w:rFonts w:ascii="Open Sans" w:eastAsia="Times New Roman" w:hAnsi="Open Sans" w:cs="Open Sans"/>
          <w:sz w:val="20"/>
          <w:szCs w:val="20"/>
        </w:rPr>
        <w:t xml:space="preserve"> align with other indicators</w:t>
      </w:r>
      <w:r w:rsidRPr="00056EBE">
        <w:rPr>
          <w:rFonts w:ascii="Open Sans" w:eastAsia="Times New Roman" w:hAnsi="Open Sans" w:cs="Open Sans"/>
          <w:sz w:val="20"/>
          <w:szCs w:val="20"/>
        </w:rPr>
        <w:t>.</w:t>
      </w:r>
    </w:p>
    <w:p w14:paraId="41F8055A" w14:textId="77777777" w:rsidR="00056EBE" w:rsidRDefault="00056EBE" w:rsidP="00EE07CB">
      <w:pPr>
        <w:spacing w:after="0" w:line="240" w:lineRule="auto"/>
        <w:ind w:right="75"/>
        <w:jc w:val="both"/>
        <w:textAlignment w:val="baseline"/>
        <w:rPr>
          <w:rFonts w:ascii="Open Sans" w:eastAsia="Times New Roman" w:hAnsi="Open Sans" w:cs="Open Sans"/>
          <w:sz w:val="20"/>
          <w:szCs w:val="20"/>
        </w:rPr>
      </w:pPr>
    </w:p>
    <w:p w14:paraId="45A71797" w14:textId="348991C2" w:rsidR="00EE07CB" w:rsidRDefault="00BB1D58" w:rsidP="005319E6">
      <w:pPr>
        <w:tabs>
          <w:tab w:val="left" w:pos="6340"/>
        </w:tabs>
        <w:spacing w:after="0" w:line="240" w:lineRule="auto"/>
        <w:ind w:right="75"/>
        <w:textAlignment w:val="baseline"/>
        <w:rPr>
          <w:rFonts w:ascii="Open Sans" w:eastAsia="Times New Roman" w:hAnsi="Open Sans" w:cs="Open Sans"/>
          <w:b/>
          <w:bCs/>
          <w:i/>
          <w:iCs/>
          <w:sz w:val="20"/>
          <w:szCs w:val="20"/>
        </w:rPr>
      </w:pPr>
      <w:r>
        <w:rPr>
          <w:rFonts w:ascii="Open Sans" w:eastAsia="Times New Roman" w:hAnsi="Open Sans" w:cs="Open Sans"/>
          <w:b/>
          <w:bCs/>
          <w:i/>
          <w:iCs/>
          <w:sz w:val="20"/>
          <w:szCs w:val="20"/>
        </w:rPr>
        <w:t>C</w:t>
      </w:r>
      <w:r w:rsidR="00EE07CB" w:rsidRPr="00BB7417">
        <w:rPr>
          <w:rFonts w:ascii="Open Sans" w:eastAsia="Times New Roman" w:hAnsi="Open Sans" w:cs="Open Sans"/>
          <w:b/>
          <w:bCs/>
          <w:i/>
          <w:iCs/>
          <w:sz w:val="20"/>
          <w:szCs w:val="20"/>
        </w:rPr>
        <w:t>yclone</w:t>
      </w:r>
      <w:r>
        <w:rPr>
          <w:rFonts w:ascii="Open Sans" w:eastAsia="Times New Roman" w:hAnsi="Open Sans" w:cs="Open Sans"/>
          <w:b/>
          <w:bCs/>
          <w:i/>
          <w:iCs/>
          <w:sz w:val="20"/>
          <w:szCs w:val="20"/>
        </w:rPr>
        <w:t>s</w:t>
      </w:r>
      <w:r w:rsidR="00EE07CB" w:rsidRPr="00BB7417">
        <w:rPr>
          <w:rFonts w:ascii="Open Sans" w:eastAsia="Times New Roman" w:hAnsi="Open Sans" w:cs="Open Sans"/>
          <w:b/>
          <w:bCs/>
          <w:i/>
          <w:iCs/>
          <w:sz w:val="20"/>
          <w:szCs w:val="20"/>
        </w:rPr>
        <w:t>:</w:t>
      </w:r>
      <w:r w:rsidR="007D6ED6">
        <w:rPr>
          <w:rFonts w:ascii="Open Sans" w:eastAsia="Times New Roman" w:hAnsi="Open Sans" w:cs="Open Sans"/>
          <w:b/>
          <w:bCs/>
          <w:i/>
          <w:iCs/>
          <w:sz w:val="20"/>
          <w:szCs w:val="20"/>
        </w:rPr>
        <w:tab/>
      </w:r>
    </w:p>
    <w:p w14:paraId="621C20B9" w14:textId="1CA996B2" w:rsidR="00EE07CB" w:rsidRDefault="00EE07CB" w:rsidP="00EE07CB">
      <w:pPr>
        <w:spacing w:after="0" w:line="240" w:lineRule="auto"/>
        <w:ind w:right="75"/>
        <w:jc w:val="both"/>
        <w:textAlignment w:val="baseline"/>
        <w:rPr>
          <w:rFonts w:ascii="Open Sans" w:eastAsia="Times New Roman" w:hAnsi="Open Sans" w:cs="Open Sans"/>
          <w:sz w:val="20"/>
          <w:szCs w:val="20"/>
        </w:rPr>
      </w:pPr>
      <w:r w:rsidRPr="00BB7417">
        <w:rPr>
          <w:rFonts w:ascii="Open Sans" w:eastAsia="Times New Roman" w:hAnsi="Open Sans" w:cs="Open Sans"/>
          <w:sz w:val="20"/>
          <w:szCs w:val="20"/>
        </w:rPr>
        <w:t xml:space="preserve">The indicator uses global modelled tropical cyclone maps from </w:t>
      </w:r>
      <w:proofErr w:type="spellStart"/>
      <w:r w:rsidRPr="00BB7417">
        <w:rPr>
          <w:rFonts w:ascii="Open Sans" w:eastAsia="Times New Roman" w:hAnsi="Open Sans" w:cs="Open Sans"/>
          <w:sz w:val="20"/>
          <w:szCs w:val="20"/>
        </w:rPr>
        <w:t>Bloemendaal</w:t>
      </w:r>
      <w:proofErr w:type="spellEnd"/>
      <w:r w:rsidRPr="00BB7417">
        <w:rPr>
          <w:rFonts w:ascii="Open Sans" w:eastAsia="Times New Roman" w:hAnsi="Open Sans" w:cs="Open Sans"/>
          <w:sz w:val="20"/>
          <w:szCs w:val="20"/>
        </w:rPr>
        <w:t xml:space="preserve">, Haigh, de </w:t>
      </w:r>
      <w:proofErr w:type="spellStart"/>
      <w:r w:rsidRPr="00BB7417">
        <w:rPr>
          <w:rFonts w:ascii="Open Sans" w:eastAsia="Times New Roman" w:hAnsi="Open Sans" w:cs="Open Sans"/>
          <w:sz w:val="20"/>
          <w:szCs w:val="20"/>
        </w:rPr>
        <w:t>Moel</w:t>
      </w:r>
      <w:proofErr w:type="spellEnd"/>
      <w:r w:rsidRPr="00BB7417">
        <w:rPr>
          <w:rFonts w:ascii="Open Sans" w:eastAsia="Times New Roman" w:hAnsi="Open Sans" w:cs="Open Sans"/>
          <w:sz w:val="20"/>
          <w:szCs w:val="20"/>
        </w:rPr>
        <w:t xml:space="preserve"> et al. </w:t>
      </w:r>
      <w:r w:rsidR="00615C26">
        <w:rPr>
          <w:rFonts w:ascii="Open Sans" w:eastAsia="Times New Roman" w:hAnsi="Open Sans" w:cs="Open Sans"/>
          <w:sz w:val="20"/>
          <w:szCs w:val="20"/>
        </w:rPr>
        <w:fldChar w:fldCharType="begin"/>
      </w:r>
      <w:r w:rsidR="00615C26">
        <w:rPr>
          <w:rFonts w:ascii="Open Sans" w:eastAsia="Times New Roman" w:hAnsi="Open Sans" w:cs="Open Sans"/>
          <w:sz w:val="20"/>
          <w:szCs w:val="20"/>
        </w:rPr>
        <w:instrText xml:space="preserve"> ADDIN ZOTERO_ITEM CSL_CITATION {"citationID":"qHafHYkN","properties":{"formattedCitation":"(2020)","plainCitation":"(2020)","noteIndex":0},"citationItems":[{"id":1800,"uris":["http://zotero.org/groups/5125234/items/G7GBA5S5"],"itemData":{"id":1800,"type":"article-journal","abstract":"Over the past few decades, the world has seen substantial tropical cyclone (TC) damages, with the 2017 Hurricanes Harvey, Irma and Maria entering the top-5 costliest Atlantic hurricanes ever. Calculating TC risk at a global scale, however, has proven difficult given the limited temporal and spatial information on TCs across much of the global coastline. Here, we present a novel database on TC characteristics on a global scale using a newly developed synthetic resampling algorithm we call STORM (Synthetic Tropical cyclOne geneRation Model). STORM can be applied to any meteorological dataset to statistically resample and model TC tracks and intensities. We apply STORM to extracted TCs from 38 years of historical data from IBTrACS to statistically extend this dataset to 10,000 years of TC activity. We show that STORM preserves the TC statistics as found in the original dataset. The STORM dataset can be used for TC hazard assessments and risk modeling in TC-prone regions.","container-title":"Scientific Data","DOI":"10.1038/s41597-020-0381-2","ISSN":"2052-4463","issue":"1","journalAbbreviation":"Sci Data","language":"en","license":"2020 The Author(s)","note":"publisher: Nature Publishing Group","page":"40","source":"www.nature.com","title":"Generation of a global synthetic tropical cyclone hazard dataset using STORM","volume":"7","author":[{"family":"Bloemendaal","given":"Nadia"},{"family":"Haigh","given":"Ivan D."},{"family":"Moel","given":"Hans","non-dropping-particle":"de"},{"family":"Muis","given":"Sanne"},{"family":"Haarsma","given":"Reindert J."},{"family":"Aerts","given":"Jeroen C. J. H."}],"issued":{"date-parts":[["2020",2,6]]}},"label":"page","suppress-author":true}],"schema":"https://github.com/citation-style-language/schema/raw/master/csl-citation.json"} </w:instrText>
      </w:r>
      <w:r w:rsidR="00615C26">
        <w:rPr>
          <w:rFonts w:ascii="Open Sans" w:eastAsia="Times New Roman" w:hAnsi="Open Sans" w:cs="Open Sans"/>
          <w:sz w:val="20"/>
          <w:szCs w:val="20"/>
        </w:rPr>
        <w:fldChar w:fldCharType="separate"/>
      </w:r>
      <w:r w:rsidR="00615C26" w:rsidRPr="00615C26">
        <w:rPr>
          <w:rFonts w:ascii="Open Sans" w:hAnsi="Open Sans" w:cs="Open Sans"/>
          <w:sz w:val="20"/>
        </w:rPr>
        <w:t>(2020)</w:t>
      </w:r>
      <w:r w:rsidR="00615C26">
        <w:rPr>
          <w:rFonts w:ascii="Open Sans" w:eastAsia="Times New Roman" w:hAnsi="Open Sans" w:cs="Open Sans"/>
          <w:sz w:val="20"/>
          <w:szCs w:val="20"/>
        </w:rPr>
        <w:fldChar w:fldCharType="end"/>
      </w:r>
      <w:r w:rsidRPr="00BB7417">
        <w:rPr>
          <w:rFonts w:ascii="Open Sans" w:eastAsia="Times New Roman" w:hAnsi="Open Sans" w:cs="Open Sans"/>
          <w:sz w:val="20"/>
          <w:szCs w:val="20"/>
        </w:rPr>
        <w:t xml:space="preserve">. </w:t>
      </w:r>
      <w:r w:rsidR="00B205D0" w:rsidRPr="00B205D0">
        <w:rPr>
          <w:rFonts w:ascii="Open Sans" w:eastAsia="Times New Roman" w:hAnsi="Open Sans" w:cs="Open Sans"/>
          <w:sz w:val="20"/>
          <w:szCs w:val="20"/>
        </w:rPr>
        <w:t xml:space="preserve">The tropical cyclone dataset is created using the Synthetic Tropical </w:t>
      </w:r>
      <w:proofErr w:type="spellStart"/>
      <w:r w:rsidR="00B205D0" w:rsidRPr="00B205D0">
        <w:rPr>
          <w:rFonts w:ascii="Open Sans" w:eastAsia="Times New Roman" w:hAnsi="Open Sans" w:cs="Open Sans"/>
          <w:sz w:val="20"/>
          <w:szCs w:val="20"/>
        </w:rPr>
        <w:t>cyclOne</w:t>
      </w:r>
      <w:proofErr w:type="spellEnd"/>
      <w:r w:rsidR="00B205D0" w:rsidRPr="00B205D0">
        <w:rPr>
          <w:rFonts w:ascii="Open Sans" w:eastAsia="Times New Roman" w:hAnsi="Open Sans" w:cs="Open Sans"/>
          <w:sz w:val="20"/>
          <w:szCs w:val="20"/>
        </w:rPr>
        <w:t xml:space="preserve"> </w:t>
      </w:r>
      <w:proofErr w:type="spellStart"/>
      <w:r w:rsidR="00B205D0" w:rsidRPr="00B205D0">
        <w:rPr>
          <w:rFonts w:ascii="Open Sans" w:eastAsia="Times New Roman" w:hAnsi="Open Sans" w:cs="Open Sans"/>
          <w:sz w:val="20"/>
          <w:szCs w:val="20"/>
        </w:rPr>
        <w:t>geneRation</w:t>
      </w:r>
      <w:proofErr w:type="spellEnd"/>
      <w:r w:rsidR="00B205D0" w:rsidRPr="00B205D0">
        <w:rPr>
          <w:rFonts w:ascii="Open Sans" w:eastAsia="Times New Roman" w:hAnsi="Open Sans" w:cs="Open Sans"/>
          <w:sz w:val="20"/>
          <w:szCs w:val="20"/>
        </w:rPr>
        <w:t xml:space="preserve"> Model (STORM), which resamples 38 years of historical cyclone track data from the International Best Track Archive for Climate Stewardship (</w:t>
      </w:r>
      <w:proofErr w:type="spellStart"/>
      <w:r w:rsidR="00B205D0" w:rsidRPr="00B205D0">
        <w:rPr>
          <w:rFonts w:ascii="Open Sans" w:eastAsia="Times New Roman" w:hAnsi="Open Sans" w:cs="Open Sans"/>
          <w:sz w:val="20"/>
          <w:szCs w:val="20"/>
        </w:rPr>
        <w:t>IBTrACS</w:t>
      </w:r>
      <w:proofErr w:type="spellEnd"/>
      <w:r w:rsidR="00B205D0" w:rsidRPr="00B205D0">
        <w:rPr>
          <w:rFonts w:ascii="Open Sans" w:eastAsia="Times New Roman" w:hAnsi="Open Sans" w:cs="Open Sans"/>
          <w:sz w:val="20"/>
          <w:szCs w:val="20"/>
        </w:rPr>
        <w:t>). This extends the dataset to represent 10,000 years of cyclone activity, covering all tropical cyclone basins except the South Atlantic due to insufficient historical data. The results were validated against historical observations and previous studies. The STORM dataset shows the maximum 10-minute average sustained wind speed at a resolution of approximately 11 km for return periods from 10 to 10,000 years. While it does not include storm surge and heavy precipitation, these factors are considered in modelled flood maps and included in the multi-hazard analysis.</w:t>
      </w:r>
    </w:p>
    <w:p w14:paraId="6299F63B" w14:textId="77777777" w:rsidR="00B205D0" w:rsidRDefault="00B205D0" w:rsidP="00EE07CB">
      <w:pPr>
        <w:spacing w:after="0" w:line="240" w:lineRule="auto"/>
        <w:ind w:right="75"/>
        <w:jc w:val="both"/>
        <w:textAlignment w:val="baseline"/>
        <w:rPr>
          <w:rFonts w:ascii="Open Sans" w:eastAsia="Times New Roman" w:hAnsi="Open Sans" w:cs="Open Sans"/>
          <w:sz w:val="20"/>
          <w:szCs w:val="20"/>
        </w:rPr>
      </w:pPr>
    </w:p>
    <w:p w14:paraId="684CD50C" w14:textId="52CF0655" w:rsidR="003061D7" w:rsidRPr="00845917" w:rsidRDefault="007A35BE" w:rsidP="00845917">
      <w:pPr>
        <w:pStyle w:val="Heading1"/>
        <w:spacing w:after="120" w:line="240" w:lineRule="auto"/>
        <w:ind w:left="432" w:hanging="432"/>
        <w:jc w:val="both"/>
        <w:rPr>
          <w:rFonts w:ascii="Open Sans" w:hAnsi="Open Sans"/>
          <w:b/>
          <w:sz w:val="20"/>
        </w:rPr>
      </w:pPr>
      <w:r w:rsidRPr="00845917">
        <w:rPr>
          <w:rFonts w:ascii="Open Sans" w:hAnsi="Open Sans"/>
          <w:b/>
          <w:sz w:val="20"/>
        </w:rPr>
        <w:t>Vision indicators measurement – caveats and areas for improvement</w:t>
      </w:r>
      <w:r w:rsidR="00492C0C" w:rsidRPr="00845917">
        <w:rPr>
          <w:rFonts w:ascii="Open Sans" w:hAnsi="Open Sans"/>
          <w:b/>
          <w:sz w:val="20"/>
        </w:rPr>
        <w:t xml:space="preserve"> </w:t>
      </w:r>
    </w:p>
    <w:p w14:paraId="5DC9B1E2" w14:textId="77777777" w:rsidR="00111A5F" w:rsidRPr="001F3E92" w:rsidRDefault="00111A5F" w:rsidP="001F3E92">
      <w:pPr>
        <w:pStyle w:val="FootnoteText"/>
        <w:jc w:val="both"/>
        <w:rPr>
          <w:rFonts w:ascii="Open Sans" w:hAnsi="Open Sans" w:cs="Open Sans"/>
        </w:rPr>
      </w:pPr>
    </w:p>
    <w:p w14:paraId="6C34B6DB" w14:textId="1E5FFC6F" w:rsidR="00D052DA" w:rsidRPr="001F3E92" w:rsidRDefault="003F3A74" w:rsidP="00D052DA">
      <w:pPr>
        <w:pStyle w:val="FootnoteText"/>
        <w:jc w:val="both"/>
        <w:rPr>
          <w:rFonts w:ascii="Open Sans" w:hAnsi="Open Sans" w:cs="Open Sans"/>
        </w:rPr>
      </w:pPr>
      <w:r>
        <w:rPr>
          <w:rFonts w:ascii="Open Sans" w:hAnsi="Open Sans" w:cs="Open Sans"/>
        </w:rPr>
        <w:t>T</w:t>
      </w:r>
      <w:r w:rsidRPr="003F3A74">
        <w:rPr>
          <w:rFonts w:ascii="Open Sans" w:hAnsi="Open Sans" w:cs="Open Sans"/>
        </w:rPr>
        <w:t>he World Bank’s new vision encompasses a broader scope, focusing on inequality and environmental sustainability in addition to poverty. This expanded vision requires enhanced measurement efforts across various dimensions.</w:t>
      </w:r>
      <w:r w:rsidR="00D052DA" w:rsidRPr="00D052DA">
        <w:rPr>
          <w:rFonts w:ascii="Open Sans" w:hAnsi="Open Sans" w:cs="Open Sans"/>
        </w:rPr>
        <w:t xml:space="preserve"> </w:t>
      </w:r>
    </w:p>
    <w:p w14:paraId="24AC670C" w14:textId="3D57EA4B" w:rsidR="003F3A74" w:rsidRPr="003F3A74" w:rsidRDefault="003F3A74" w:rsidP="003F3A74">
      <w:pPr>
        <w:pStyle w:val="FootnoteText"/>
        <w:jc w:val="both"/>
        <w:rPr>
          <w:rFonts w:ascii="Open Sans" w:hAnsi="Open Sans" w:cs="Open Sans"/>
        </w:rPr>
      </w:pPr>
    </w:p>
    <w:p w14:paraId="7BAAFA81" w14:textId="19A385E1" w:rsidR="00D80B30" w:rsidRPr="001F3E92" w:rsidRDefault="003F3A74" w:rsidP="00D80B30">
      <w:pPr>
        <w:pStyle w:val="FootnoteText"/>
        <w:jc w:val="both"/>
        <w:rPr>
          <w:rFonts w:ascii="Open Sans" w:hAnsi="Open Sans" w:cs="Open Sans"/>
        </w:rPr>
      </w:pPr>
      <w:r w:rsidRPr="003F3A74">
        <w:rPr>
          <w:rFonts w:ascii="Open Sans" w:hAnsi="Open Sans" w:cs="Open Sans"/>
        </w:rPr>
        <w:t>The rest of this chapter shifts the focus from data to measurement across four areas</w:t>
      </w:r>
      <w:r w:rsidR="009D666D">
        <w:rPr>
          <w:rFonts w:ascii="Open Sans" w:hAnsi="Open Sans" w:cs="Open Sans"/>
        </w:rPr>
        <w:t>.</w:t>
      </w:r>
      <w:r w:rsidR="00D052DA">
        <w:rPr>
          <w:rFonts w:ascii="Open Sans" w:hAnsi="Open Sans" w:cs="Open Sans"/>
        </w:rPr>
        <w:t xml:space="preserve"> </w:t>
      </w:r>
      <w:r w:rsidRPr="003F3A74">
        <w:rPr>
          <w:rFonts w:ascii="Open Sans" w:hAnsi="Open Sans" w:cs="Open Sans"/>
        </w:rPr>
        <w:t xml:space="preserve">The first area deals with measuring inequality, </w:t>
      </w:r>
      <w:r w:rsidR="00680AEE">
        <w:rPr>
          <w:rFonts w:ascii="Open Sans" w:hAnsi="Open Sans" w:cs="Open Sans"/>
        </w:rPr>
        <w:t>discussing challenges</w:t>
      </w:r>
      <w:r w:rsidRPr="003F3A74">
        <w:rPr>
          <w:rFonts w:ascii="Open Sans" w:hAnsi="Open Sans" w:cs="Open Sans"/>
        </w:rPr>
        <w:t xml:space="preserve"> such as differences between consumption and income data, the underreporting of top incomes in household surveys, and discrepancies between household surveys and national accounts data. The second area concerns</w:t>
      </w:r>
      <w:r w:rsidR="00BA0803">
        <w:rPr>
          <w:rFonts w:ascii="Open Sans" w:hAnsi="Open Sans" w:cs="Open Sans"/>
        </w:rPr>
        <w:t xml:space="preserve"> non-monetary </w:t>
      </w:r>
      <w:r w:rsidR="00CA3E51">
        <w:rPr>
          <w:rFonts w:ascii="Open Sans" w:hAnsi="Open Sans" w:cs="Open Sans"/>
        </w:rPr>
        <w:t>measures and delves into the measurement of</w:t>
      </w:r>
      <w:r w:rsidRPr="003F3A74">
        <w:rPr>
          <w:rFonts w:ascii="Open Sans" w:hAnsi="Open Sans" w:cs="Open Sans"/>
        </w:rPr>
        <w:t xml:space="preserve"> food insecurity</w:t>
      </w:r>
      <w:r w:rsidR="006F248B">
        <w:rPr>
          <w:rFonts w:ascii="Open Sans" w:hAnsi="Open Sans" w:cs="Open Sans"/>
        </w:rPr>
        <w:t xml:space="preserve"> </w:t>
      </w:r>
      <w:r w:rsidR="00C37AE8">
        <w:rPr>
          <w:rFonts w:ascii="Open Sans" w:hAnsi="Open Sans" w:cs="Open Sans"/>
        </w:rPr>
        <w:t>given the complexity of the concept and measurement challenges of the selected indicator</w:t>
      </w:r>
      <w:r w:rsidRPr="003F3A74">
        <w:rPr>
          <w:rFonts w:ascii="Open Sans" w:hAnsi="Open Sans" w:cs="Open Sans"/>
        </w:rPr>
        <w:t xml:space="preserve">. The third area focuses on capturing vulnerability and climate risks more accurately. The final area </w:t>
      </w:r>
      <w:r w:rsidR="00C03C58">
        <w:rPr>
          <w:rFonts w:ascii="Open Sans" w:hAnsi="Open Sans" w:cs="Open Sans"/>
        </w:rPr>
        <w:t xml:space="preserve">reflects on </w:t>
      </w:r>
      <w:r w:rsidR="00916397">
        <w:rPr>
          <w:rFonts w:ascii="Open Sans" w:hAnsi="Open Sans" w:cs="Open Sans"/>
        </w:rPr>
        <w:t>the challenges</w:t>
      </w:r>
      <w:r w:rsidRPr="003F3A74">
        <w:rPr>
          <w:rFonts w:ascii="Open Sans" w:hAnsi="Open Sans" w:cs="Open Sans"/>
        </w:rPr>
        <w:t xml:space="preserve"> to forecast the impacts of global warming on poverty</w:t>
      </w:r>
      <w:r w:rsidR="00C37AE8">
        <w:rPr>
          <w:rFonts w:ascii="Open Sans" w:hAnsi="Open Sans" w:cs="Open Sans"/>
        </w:rPr>
        <w:t xml:space="preserve"> given the discussions presented in chapter 3</w:t>
      </w:r>
      <w:r w:rsidRPr="003F3A74">
        <w:rPr>
          <w:rFonts w:ascii="Open Sans" w:hAnsi="Open Sans" w:cs="Open Sans"/>
        </w:rPr>
        <w:t>.</w:t>
      </w:r>
      <w:r w:rsidR="00C37AE8">
        <w:rPr>
          <w:rFonts w:ascii="Open Sans" w:hAnsi="Open Sans" w:cs="Open Sans"/>
        </w:rPr>
        <w:t xml:space="preserve"> </w:t>
      </w:r>
    </w:p>
    <w:p w14:paraId="5277FD12" w14:textId="77777777" w:rsidR="003F3A74" w:rsidRPr="003F3A74" w:rsidRDefault="003F3A74" w:rsidP="003F3A74">
      <w:pPr>
        <w:pStyle w:val="FootnoteText"/>
        <w:jc w:val="both"/>
        <w:rPr>
          <w:rFonts w:ascii="Open Sans" w:hAnsi="Open Sans" w:cs="Open Sans"/>
        </w:rPr>
      </w:pPr>
    </w:p>
    <w:p w14:paraId="24362783" w14:textId="6DA99EF3" w:rsidR="00B2639C" w:rsidRPr="001F3E92" w:rsidRDefault="003F3A74" w:rsidP="00B2639C">
      <w:pPr>
        <w:pStyle w:val="FootnoteText"/>
        <w:jc w:val="both"/>
        <w:rPr>
          <w:rFonts w:ascii="Open Sans" w:hAnsi="Open Sans" w:cs="Open Sans"/>
        </w:rPr>
      </w:pPr>
      <w:r w:rsidRPr="003F3A74">
        <w:rPr>
          <w:rFonts w:ascii="Open Sans" w:hAnsi="Open Sans" w:cs="Open Sans"/>
        </w:rPr>
        <w:t xml:space="preserve">While these selected measurement areas are prioritized, other measurement topics remain important. For instance, within-household inequality, though not discussed here, is crucial. </w:t>
      </w:r>
      <w:r w:rsidR="004153F8">
        <w:rPr>
          <w:rFonts w:ascii="Open Sans" w:hAnsi="Open Sans" w:cs="Open Sans"/>
        </w:rPr>
        <w:t>In addition, w</w:t>
      </w:r>
      <w:r w:rsidR="00B2639C">
        <w:rPr>
          <w:rFonts w:ascii="Open Sans" w:hAnsi="Open Sans" w:cs="Open Sans"/>
        </w:rPr>
        <w:t>e do not discuss in detail measurement challenges related to WASH or healthy ecosystems. On WASH, the indicator is clear, and the main challenge is advancing on having better coverage of the hygiene dimension.  On health ecosystems, at the time this report was being completed, the indicator was not</w:t>
      </w:r>
      <w:r w:rsidR="00F9280F">
        <w:rPr>
          <w:rFonts w:ascii="Open Sans" w:hAnsi="Open Sans" w:cs="Open Sans"/>
        </w:rPr>
        <w:t xml:space="preserve"> yet</w:t>
      </w:r>
      <w:r w:rsidR="00B2639C">
        <w:rPr>
          <w:rFonts w:ascii="Open Sans" w:hAnsi="Open Sans" w:cs="Open Sans"/>
        </w:rPr>
        <w:t xml:space="preserve"> </w:t>
      </w:r>
      <w:r w:rsidR="00F9280F">
        <w:rPr>
          <w:rFonts w:ascii="Open Sans" w:hAnsi="Open Sans" w:cs="Open Sans"/>
        </w:rPr>
        <w:t>finalized</w:t>
      </w:r>
      <w:r w:rsidR="00B2639C">
        <w:rPr>
          <w:rFonts w:ascii="Open Sans" w:hAnsi="Open Sans" w:cs="Open Sans"/>
        </w:rPr>
        <w:t>. Therefore, this indicator will be discussed in future editions of the report</w:t>
      </w:r>
      <w:r w:rsidR="00DF0D66">
        <w:rPr>
          <w:rFonts w:ascii="Open Sans" w:hAnsi="Open Sans" w:cs="Open Sans"/>
        </w:rPr>
        <w:t xml:space="preserve"> as well as other upcoming flagship reports on </w:t>
      </w:r>
      <w:r w:rsidR="001D26F2">
        <w:rPr>
          <w:rFonts w:ascii="Open Sans" w:hAnsi="Open Sans" w:cs="Open Sans"/>
        </w:rPr>
        <w:t>Planet indicators</w:t>
      </w:r>
      <w:r w:rsidR="00B2639C">
        <w:rPr>
          <w:rFonts w:ascii="Open Sans" w:hAnsi="Open Sans" w:cs="Open Sans"/>
        </w:rPr>
        <w:t>.</w:t>
      </w:r>
    </w:p>
    <w:p w14:paraId="603481E4" w14:textId="4C968BAE" w:rsidR="003F3A74" w:rsidRPr="003F3A74" w:rsidRDefault="003F3A74" w:rsidP="003F3A74">
      <w:pPr>
        <w:pStyle w:val="FootnoteText"/>
        <w:jc w:val="both"/>
        <w:rPr>
          <w:rFonts w:ascii="Open Sans" w:hAnsi="Open Sans" w:cs="Open Sans"/>
        </w:rPr>
      </w:pPr>
    </w:p>
    <w:p w14:paraId="3207491D" w14:textId="45CB6D7B" w:rsidR="001A4E89" w:rsidRPr="00077757" w:rsidRDefault="001A4E89" w:rsidP="00077757">
      <w:pPr>
        <w:spacing w:line="240" w:lineRule="auto"/>
        <w:rPr>
          <w:rFonts w:ascii="Open Sans" w:hAnsi="Open Sans" w:cs="Open Sans"/>
        </w:rPr>
      </w:pPr>
    </w:p>
    <w:p w14:paraId="11C76DB2" w14:textId="77777777" w:rsidR="00BB64C6" w:rsidRPr="00077757" w:rsidRDefault="00BB64C6" w:rsidP="00077757">
      <w:pPr>
        <w:spacing w:line="240" w:lineRule="auto"/>
        <w:rPr>
          <w:rFonts w:ascii="Open Sans" w:hAnsi="Open Sans" w:cs="Open Sans"/>
        </w:rPr>
      </w:pPr>
    </w:p>
    <w:p w14:paraId="179311E1" w14:textId="5B2D4325" w:rsidR="000A2034" w:rsidRPr="004C7C08" w:rsidRDefault="000A2034" w:rsidP="004C7C08">
      <w:pPr>
        <w:pStyle w:val="Heading2"/>
        <w:spacing w:before="160" w:after="120" w:line="240" w:lineRule="auto"/>
        <w:ind w:left="576" w:hanging="576"/>
        <w:jc w:val="both"/>
        <w:rPr>
          <w:rFonts w:ascii="Open Sans" w:hAnsi="Open Sans"/>
          <w:sz w:val="20"/>
        </w:rPr>
      </w:pPr>
      <w:r w:rsidRPr="004C7C08">
        <w:rPr>
          <w:rFonts w:ascii="Open Sans" w:hAnsi="Open Sans"/>
          <w:sz w:val="20"/>
        </w:rPr>
        <w:lastRenderedPageBreak/>
        <w:t xml:space="preserve">With the added focus on inequality and the prosperity gap, </w:t>
      </w:r>
      <w:r w:rsidR="00D37E94" w:rsidRPr="004C7C08">
        <w:rPr>
          <w:rFonts w:ascii="Open Sans" w:hAnsi="Open Sans"/>
          <w:sz w:val="20"/>
        </w:rPr>
        <w:t xml:space="preserve">there is a need to better measure </w:t>
      </w:r>
      <w:r w:rsidRPr="004C7C08">
        <w:rPr>
          <w:rFonts w:ascii="Open Sans" w:hAnsi="Open Sans"/>
          <w:sz w:val="20"/>
        </w:rPr>
        <w:t>the entire</w:t>
      </w:r>
      <w:r w:rsidR="00D37E94" w:rsidRPr="004C7C08">
        <w:rPr>
          <w:rFonts w:ascii="Open Sans" w:hAnsi="Open Sans"/>
          <w:sz w:val="20"/>
        </w:rPr>
        <w:t xml:space="preserve"> </w:t>
      </w:r>
      <w:r w:rsidRPr="004C7C08">
        <w:rPr>
          <w:rFonts w:ascii="Open Sans" w:hAnsi="Open Sans"/>
          <w:sz w:val="20"/>
        </w:rPr>
        <w:t>distribution</w:t>
      </w:r>
      <w:r w:rsidR="008D5CC0" w:rsidRPr="004C7C08">
        <w:rPr>
          <w:rFonts w:ascii="Open Sans" w:hAnsi="Open Sans"/>
          <w:sz w:val="20"/>
        </w:rPr>
        <w:t xml:space="preserve"> of income or consumption</w:t>
      </w:r>
      <w:r w:rsidRPr="004C7C08">
        <w:rPr>
          <w:rFonts w:ascii="Open Sans" w:hAnsi="Open Sans"/>
          <w:sz w:val="20"/>
        </w:rPr>
        <w:t>.</w:t>
      </w:r>
    </w:p>
    <w:p w14:paraId="41796BF1" w14:textId="77777777" w:rsidR="00B243FE" w:rsidRPr="00077757" w:rsidRDefault="00B243FE" w:rsidP="00077757">
      <w:pPr>
        <w:spacing w:line="240" w:lineRule="auto"/>
        <w:rPr>
          <w:rFonts w:ascii="Open Sans" w:hAnsi="Open Sans" w:cs="Open Sans"/>
        </w:rPr>
      </w:pPr>
    </w:p>
    <w:p w14:paraId="13A3B850" w14:textId="7C4AEC0C" w:rsidR="00B243FE" w:rsidRPr="00077757" w:rsidRDefault="00B243FE" w:rsidP="00077757">
      <w:pPr>
        <w:pStyle w:val="Heading4"/>
        <w:spacing w:line="240" w:lineRule="auto"/>
        <w:rPr>
          <w:rFonts w:ascii="Open Sans" w:hAnsi="Open Sans" w:cs="Open Sans"/>
        </w:rPr>
      </w:pPr>
      <w:r w:rsidRPr="00077757">
        <w:rPr>
          <w:rFonts w:ascii="Open Sans" w:hAnsi="Open Sans" w:cs="Open Sans"/>
        </w:rPr>
        <w:t>Welfare aggregate</w:t>
      </w:r>
      <w:r w:rsidR="00E21C5D">
        <w:rPr>
          <w:rFonts w:ascii="Open Sans" w:hAnsi="Open Sans" w:cs="Open Sans"/>
        </w:rPr>
        <w:t>s</w:t>
      </w:r>
      <w:r w:rsidRPr="00077757">
        <w:rPr>
          <w:rFonts w:ascii="Open Sans" w:hAnsi="Open Sans" w:cs="Open Sans"/>
        </w:rPr>
        <w:t xml:space="preserve">: Consumption </w:t>
      </w:r>
      <w:r w:rsidR="00433A52">
        <w:rPr>
          <w:rFonts w:ascii="Open Sans" w:hAnsi="Open Sans" w:cs="Open Sans"/>
        </w:rPr>
        <w:t>and</w:t>
      </w:r>
      <w:r w:rsidRPr="00077757">
        <w:rPr>
          <w:rFonts w:ascii="Open Sans" w:hAnsi="Open Sans" w:cs="Open Sans"/>
        </w:rPr>
        <w:t xml:space="preserve"> </w:t>
      </w:r>
      <w:r w:rsidR="00A17109">
        <w:rPr>
          <w:rFonts w:ascii="Open Sans" w:hAnsi="Open Sans" w:cs="Open Sans"/>
        </w:rPr>
        <w:t>i</w:t>
      </w:r>
      <w:r w:rsidRPr="00077757">
        <w:rPr>
          <w:rFonts w:ascii="Open Sans" w:hAnsi="Open Sans" w:cs="Open Sans"/>
        </w:rPr>
        <w:t>ncom</w:t>
      </w:r>
      <w:r w:rsidR="00433A52">
        <w:rPr>
          <w:rFonts w:ascii="Open Sans" w:hAnsi="Open Sans" w:cs="Open Sans"/>
        </w:rPr>
        <w:t>e-based measures</w:t>
      </w:r>
    </w:p>
    <w:p w14:paraId="177D49DF" w14:textId="77777777" w:rsidR="00B243FE" w:rsidRPr="00077757" w:rsidRDefault="00B243FE" w:rsidP="00077757">
      <w:pPr>
        <w:spacing w:line="240" w:lineRule="auto"/>
        <w:rPr>
          <w:rFonts w:ascii="Open Sans" w:hAnsi="Open Sans" w:cs="Open Sans"/>
        </w:rPr>
      </w:pPr>
    </w:p>
    <w:p w14:paraId="4919793B" w14:textId="5B206C9D" w:rsidR="00523ED1" w:rsidRDefault="006A6949">
      <w:pPr>
        <w:spacing w:line="240" w:lineRule="auto"/>
        <w:jc w:val="both"/>
        <w:rPr>
          <w:rFonts w:ascii="Open Sans" w:hAnsi="Open Sans" w:cs="Open Sans"/>
          <w:sz w:val="20"/>
          <w:szCs w:val="20"/>
        </w:rPr>
      </w:pPr>
      <w:r w:rsidRPr="004F0C55">
        <w:rPr>
          <w:rFonts w:ascii="Open Sans" w:hAnsi="Open Sans" w:cs="Open Sans"/>
          <w:sz w:val="20"/>
          <w:szCs w:val="20"/>
        </w:rPr>
        <w:t xml:space="preserve">The </w:t>
      </w:r>
      <w:r w:rsidR="00FB6458" w:rsidRPr="004F0C55">
        <w:rPr>
          <w:rFonts w:ascii="Open Sans" w:hAnsi="Open Sans" w:cs="Open Sans"/>
          <w:sz w:val="20"/>
          <w:szCs w:val="20"/>
        </w:rPr>
        <w:t>World Bank</w:t>
      </w:r>
      <w:r w:rsidR="00605D6E">
        <w:rPr>
          <w:rFonts w:ascii="Open Sans" w:hAnsi="Open Sans" w:cs="Open Sans"/>
          <w:sz w:val="20"/>
          <w:szCs w:val="20"/>
        </w:rPr>
        <w:t>’s</w:t>
      </w:r>
      <w:r w:rsidR="00FB6458" w:rsidRPr="004F0C55">
        <w:rPr>
          <w:rFonts w:ascii="Open Sans" w:hAnsi="Open Sans" w:cs="Open Sans"/>
          <w:sz w:val="20"/>
          <w:szCs w:val="20"/>
        </w:rPr>
        <w:t xml:space="preserve"> </w:t>
      </w:r>
      <w:r w:rsidRPr="004F0C55">
        <w:rPr>
          <w:rFonts w:ascii="Open Sans" w:hAnsi="Open Sans" w:cs="Open Sans"/>
          <w:sz w:val="20"/>
          <w:szCs w:val="20"/>
        </w:rPr>
        <w:t xml:space="preserve">methods </w:t>
      </w:r>
      <w:r w:rsidR="00F702B5" w:rsidRPr="004F0C55">
        <w:rPr>
          <w:rFonts w:ascii="Open Sans" w:hAnsi="Open Sans" w:cs="Open Sans"/>
          <w:sz w:val="20"/>
          <w:szCs w:val="20"/>
        </w:rPr>
        <w:t>applied for</w:t>
      </w:r>
      <w:r w:rsidR="00D73041" w:rsidRPr="004F0C55">
        <w:rPr>
          <w:rFonts w:ascii="Open Sans" w:hAnsi="Open Sans" w:cs="Open Sans"/>
          <w:sz w:val="20"/>
          <w:szCs w:val="20"/>
        </w:rPr>
        <w:t xml:space="preserve"> assessing </w:t>
      </w:r>
      <w:r w:rsidR="00430A5A" w:rsidRPr="004F0C55">
        <w:rPr>
          <w:rFonts w:ascii="Open Sans" w:hAnsi="Open Sans" w:cs="Open Sans"/>
          <w:sz w:val="20"/>
          <w:szCs w:val="20"/>
        </w:rPr>
        <w:t>material well-being</w:t>
      </w:r>
      <w:r w:rsidR="00F702B5" w:rsidRPr="004F0C55">
        <w:rPr>
          <w:rFonts w:ascii="Open Sans" w:hAnsi="Open Sans" w:cs="Open Sans"/>
          <w:sz w:val="20"/>
          <w:szCs w:val="20"/>
        </w:rPr>
        <w:t xml:space="preserve"> have </w:t>
      </w:r>
      <w:r w:rsidR="008309FC" w:rsidRPr="004F0C55">
        <w:rPr>
          <w:rFonts w:ascii="Open Sans" w:hAnsi="Open Sans" w:cs="Open Sans"/>
          <w:sz w:val="20"/>
          <w:szCs w:val="20"/>
        </w:rPr>
        <w:t xml:space="preserve">been </w:t>
      </w:r>
      <w:r w:rsidR="00E9782C" w:rsidRPr="004F0C55">
        <w:rPr>
          <w:rFonts w:ascii="Open Sans" w:hAnsi="Open Sans" w:cs="Open Sans"/>
          <w:sz w:val="20"/>
          <w:szCs w:val="20"/>
        </w:rPr>
        <w:t>designed over the years</w:t>
      </w:r>
      <w:r w:rsidR="00D92E94" w:rsidRPr="004F0C55">
        <w:rPr>
          <w:rFonts w:ascii="Open Sans" w:hAnsi="Open Sans" w:cs="Open Sans"/>
          <w:sz w:val="20"/>
          <w:szCs w:val="20"/>
        </w:rPr>
        <w:t xml:space="preserve"> </w:t>
      </w:r>
      <w:r w:rsidR="00E85645" w:rsidRPr="004F0C55">
        <w:rPr>
          <w:rFonts w:ascii="Open Sans" w:hAnsi="Open Sans" w:cs="Open Sans"/>
          <w:sz w:val="20"/>
          <w:szCs w:val="20"/>
        </w:rPr>
        <w:t xml:space="preserve">primarily </w:t>
      </w:r>
      <w:r w:rsidR="00266481" w:rsidRPr="004F0C55">
        <w:rPr>
          <w:rFonts w:ascii="Open Sans" w:hAnsi="Open Sans" w:cs="Open Sans"/>
          <w:sz w:val="20"/>
          <w:szCs w:val="20"/>
        </w:rPr>
        <w:t xml:space="preserve">to </w:t>
      </w:r>
      <w:r w:rsidR="00D119D1" w:rsidRPr="004F0C55">
        <w:rPr>
          <w:rFonts w:ascii="Open Sans" w:hAnsi="Open Sans" w:cs="Open Sans"/>
          <w:sz w:val="20"/>
          <w:szCs w:val="20"/>
        </w:rPr>
        <w:t>measure poverty</w:t>
      </w:r>
      <w:r w:rsidR="00D92E94" w:rsidRPr="004F0C55">
        <w:rPr>
          <w:rFonts w:ascii="Open Sans" w:hAnsi="Open Sans" w:cs="Open Sans"/>
          <w:sz w:val="20"/>
          <w:szCs w:val="20"/>
        </w:rPr>
        <w:t xml:space="preserve">. With </w:t>
      </w:r>
      <w:r w:rsidR="00EF2B10" w:rsidRPr="004F0C55">
        <w:rPr>
          <w:rFonts w:ascii="Open Sans" w:hAnsi="Open Sans" w:cs="Open Sans"/>
          <w:sz w:val="20"/>
          <w:szCs w:val="20"/>
        </w:rPr>
        <w:t xml:space="preserve">the added </w:t>
      </w:r>
      <w:r w:rsidR="00C827A1" w:rsidRPr="004F0C55">
        <w:rPr>
          <w:rFonts w:ascii="Open Sans" w:hAnsi="Open Sans" w:cs="Open Sans"/>
          <w:sz w:val="20"/>
          <w:szCs w:val="20"/>
        </w:rPr>
        <w:t>focus on</w:t>
      </w:r>
      <w:r w:rsidR="00D119D1" w:rsidRPr="004F0C55">
        <w:rPr>
          <w:rFonts w:ascii="Open Sans" w:hAnsi="Open Sans" w:cs="Open Sans"/>
          <w:sz w:val="20"/>
          <w:szCs w:val="20"/>
        </w:rPr>
        <w:t xml:space="preserve"> </w:t>
      </w:r>
      <w:r w:rsidR="00EF2B10" w:rsidRPr="004F0C55">
        <w:rPr>
          <w:rFonts w:ascii="Open Sans" w:hAnsi="Open Sans" w:cs="Open Sans"/>
          <w:sz w:val="20"/>
          <w:szCs w:val="20"/>
        </w:rPr>
        <w:t xml:space="preserve">inequality and </w:t>
      </w:r>
      <w:r w:rsidR="00F84534">
        <w:rPr>
          <w:rFonts w:ascii="Open Sans" w:hAnsi="Open Sans" w:cs="Open Sans"/>
          <w:sz w:val="20"/>
          <w:szCs w:val="20"/>
        </w:rPr>
        <w:t xml:space="preserve">the </w:t>
      </w:r>
      <w:r w:rsidR="00EF2B10" w:rsidRPr="004F0C55">
        <w:rPr>
          <w:rFonts w:ascii="Open Sans" w:hAnsi="Open Sans" w:cs="Open Sans"/>
          <w:sz w:val="20"/>
          <w:szCs w:val="20"/>
        </w:rPr>
        <w:t xml:space="preserve">prosperity gap, the Bank’s methods </w:t>
      </w:r>
      <w:r w:rsidR="00763DF8" w:rsidRPr="004F0C55">
        <w:rPr>
          <w:rFonts w:ascii="Open Sans" w:hAnsi="Open Sans" w:cs="Open Sans"/>
          <w:sz w:val="20"/>
          <w:szCs w:val="20"/>
        </w:rPr>
        <w:t>n</w:t>
      </w:r>
      <w:r w:rsidR="00D119D1" w:rsidRPr="004F0C55">
        <w:rPr>
          <w:rFonts w:ascii="Open Sans" w:hAnsi="Open Sans" w:cs="Open Sans"/>
          <w:sz w:val="20"/>
          <w:szCs w:val="20"/>
        </w:rPr>
        <w:t xml:space="preserve">eed to evolve </w:t>
      </w:r>
      <w:r w:rsidR="00214631" w:rsidRPr="004F0C55">
        <w:rPr>
          <w:rFonts w:ascii="Open Sans" w:hAnsi="Open Sans" w:cs="Open Sans"/>
          <w:sz w:val="20"/>
          <w:szCs w:val="20"/>
        </w:rPr>
        <w:t xml:space="preserve">and expand from the </w:t>
      </w:r>
      <w:r w:rsidR="00D945C9" w:rsidRPr="004F0C55">
        <w:rPr>
          <w:rFonts w:ascii="Open Sans" w:hAnsi="Open Sans" w:cs="Open Sans"/>
          <w:sz w:val="20"/>
          <w:szCs w:val="20"/>
        </w:rPr>
        <w:t xml:space="preserve">bottom </w:t>
      </w:r>
      <w:r w:rsidR="00D911AC" w:rsidRPr="004F0C55">
        <w:rPr>
          <w:rFonts w:ascii="Open Sans" w:hAnsi="Open Sans" w:cs="Open Sans"/>
          <w:sz w:val="20"/>
          <w:szCs w:val="20"/>
        </w:rPr>
        <w:t xml:space="preserve">of the distribution to the </w:t>
      </w:r>
      <w:r w:rsidR="00D119D1" w:rsidRPr="004F0C55">
        <w:rPr>
          <w:rFonts w:ascii="Open Sans" w:hAnsi="Open Sans" w:cs="Open Sans"/>
          <w:sz w:val="20"/>
          <w:szCs w:val="20"/>
        </w:rPr>
        <w:t>entire distribution</w:t>
      </w:r>
      <w:r w:rsidR="006E3993">
        <w:rPr>
          <w:rFonts w:ascii="Open Sans" w:hAnsi="Open Sans" w:cs="Open Sans"/>
          <w:sz w:val="20"/>
          <w:szCs w:val="20"/>
        </w:rPr>
        <w:t xml:space="preserve"> </w:t>
      </w:r>
      <w:r w:rsidR="006E3993">
        <w:rPr>
          <w:rFonts w:ascii="Open Sans" w:hAnsi="Open Sans" w:cs="Open Sans"/>
          <w:sz w:val="20"/>
          <w:szCs w:val="20"/>
        </w:rPr>
        <w:fldChar w:fldCharType="begin"/>
      </w:r>
      <w:r w:rsidR="006E3993">
        <w:rPr>
          <w:rFonts w:ascii="Open Sans" w:hAnsi="Open Sans" w:cs="Open Sans"/>
          <w:sz w:val="20"/>
          <w:szCs w:val="20"/>
        </w:rPr>
        <w:instrText xml:space="preserve"> ADDIN ZOTERO_ITEM CSL_CITATION {"citationID":"z3hFm3nt","properties":{"formattedCitation":"(Haddad et al., 2024; Kraay et al., 2023)","plainCitation":"(Haddad et al., 2024; Kraay et al., 2023)","noteIndex":0},"citationItems":[{"id":1823,"uris":["http://zotero.org/groups/5125234/items/TC24BS49"],"itemData":{"id":1823,"type":"article-journal","container-title":"World Bank Policy Research Working Paper Series","issue":"10796","note":"publisher: The World Bank","title":"The World Bank’s New Inequality Indicat or: The Number of Countries with High Inequality","author":[{"family":"Haddad","given":"Cameron Nadim"},{"family":"Mahler","given":"Daniel Gerszon"},{"family":"Diaz-Bonilla","given":"Carolina"},{"family":"Hill","given":"Ruth"},{"family":"Lakner","given":"Christoph"},{"family":"Lara Ibarra","given":"Gabriel"}],"issued":{"date-parts":[["2024"]]}}},{"id":912,"uris":["http://zotero.org/groups/5125234/items/XR7RY4IU"],"itemData":{"id":912,"type":"book","collection-title":"Policy Research Working Papers","language":"en","note":"DOI: 10.1596/1813-9450-10470","publisher":"The World Bank","source":"DOI.org (Crossref)","title":"A New Distribution Sensitive Index for Measuring Welfare, Poverty, and Inequality","URL":"http://elibrary.worldbank.org/doi/book/10.1596/1813-9450-10470","author":[{"family":"Kraay","given":"Aart"},{"family":"Lakner","given":"Christoph"},{"family":"Özler","given":"Berk"},{"family":"Decerf","given":"Benoit"},{"family":"Jolliffe","given":"Dean"},{"family":"Sterck","given":"Olivier"},{"family":"Yonzan","given":"Nishant"}],"accessed":{"date-parts":[["2023",11,9]]},"issued":{"date-parts":[["2023",6,1]]}}}],"schema":"https://github.com/citation-style-language/schema/raw/master/csl-citation.json"} </w:instrText>
      </w:r>
      <w:r w:rsidR="006E3993">
        <w:rPr>
          <w:rFonts w:ascii="Open Sans" w:hAnsi="Open Sans" w:cs="Open Sans"/>
          <w:sz w:val="20"/>
          <w:szCs w:val="20"/>
        </w:rPr>
        <w:fldChar w:fldCharType="separate"/>
      </w:r>
      <w:r w:rsidR="006E3993" w:rsidRPr="006E3993">
        <w:rPr>
          <w:rFonts w:ascii="Open Sans" w:hAnsi="Open Sans" w:cs="Open Sans"/>
          <w:sz w:val="20"/>
        </w:rPr>
        <w:t>(Haddad et al., 2024; Kraay et al., 2023)</w:t>
      </w:r>
      <w:r w:rsidR="006E3993">
        <w:rPr>
          <w:rFonts w:ascii="Open Sans" w:hAnsi="Open Sans" w:cs="Open Sans"/>
          <w:sz w:val="20"/>
          <w:szCs w:val="20"/>
        </w:rPr>
        <w:fldChar w:fldCharType="end"/>
      </w:r>
      <w:r w:rsidR="00D119D1" w:rsidRPr="004F0C55">
        <w:rPr>
          <w:rFonts w:ascii="Open Sans" w:hAnsi="Open Sans" w:cs="Open Sans"/>
          <w:sz w:val="20"/>
          <w:szCs w:val="20"/>
        </w:rPr>
        <w:t>.</w:t>
      </w:r>
      <w:r w:rsidR="00AA2251" w:rsidRPr="004F0C55">
        <w:rPr>
          <w:rFonts w:ascii="Open Sans" w:hAnsi="Open Sans" w:cs="Open Sans"/>
          <w:sz w:val="20"/>
          <w:szCs w:val="20"/>
        </w:rPr>
        <w:t xml:space="preserve"> </w:t>
      </w:r>
    </w:p>
    <w:p w14:paraId="3179D537" w14:textId="41CD3C9A" w:rsidR="00C935B2" w:rsidRPr="004F0C55" w:rsidRDefault="00C935B2" w:rsidP="00C935B2">
      <w:pPr>
        <w:spacing w:line="240" w:lineRule="auto"/>
        <w:jc w:val="both"/>
        <w:rPr>
          <w:rFonts w:ascii="Open Sans" w:hAnsi="Open Sans" w:cs="Open Sans"/>
          <w:sz w:val="20"/>
          <w:szCs w:val="20"/>
        </w:rPr>
      </w:pPr>
      <w:r w:rsidRPr="004F0C55">
        <w:rPr>
          <w:rFonts w:ascii="Open Sans" w:hAnsi="Open Sans" w:cs="Open Sans"/>
          <w:sz w:val="20"/>
          <w:szCs w:val="20"/>
        </w:rPr>
        <w:t>The temporal smoothing behavior of consumption, particularly for the poorest households, tends to make it the preferred aggregate for measuring poverty. This is especially the case in developing economies, which typically depend more on agriculture and have a larger informal sector – both factors making income surveys potentially biased. In advance</w:t>
      </w:r>
      <w:r>
        <w:rPr>
          <w:rFonts w:ascii="Open Sans" w:hAnsi="Open Sans" w:cs="Open Sans"/>
          <w:sz w:val="20"/>
          <w:szCs w:val="20"/>
        </w:rPr>
        <w:t>d</w:t>
      </w:r>
      <w:r w:rsidRPr="004F0C55">
        <w:rPr>
          <w:rFonts w:ascii="Open Sans" w:hAnsi="Open Sans" w:cs="Open Sans"/>
          <w:sz w:val="20"/>
          <w:szCs w:val="20"/>
        </w:rPr>
        <w:t xml:space="preserve"> countries, however, it is much easier to capture incomes of individuals and hence, income surveys are conducted and reported.</w:t>
      </w:r>
      <w:r w:rsidR="00B53F11" w:rsidRPr="005319E6">
        <w:rPr>
          <w:rStyle w:val="FootnoteReference"/>
        </w:rPr>
        <w:footnoteReference w:id="8"/>
      </w:r>
      <w:r w:rsidRPr="004F0C55">
        <w:rPr>
          <w:rFonts w:ascii="Open Sans" w:hAnsi="Open Sans" w:cs="Open Sans"/>
          <w:sz w:val="20"/>
          <w:szCs w:val="20"/>
        </w:rPr>
        <w:t xml:space="preserve"> Most of the countries in Latin America and Caribbean and all high-income countries report income surveys while most other countries report consumption survey. Out of 169 countries, the latest survey for 104 was based on consumption.</w:t>
      </w:r>
    </w:p>
    <w:p w14:paraId="08782C89" w14:textId="35F6FB24" w:rsidR="00B35569" w:rsidRPr="004F0C55" w:rsidRDefault="00140B1D" w:rsidP="00B35569">
      <w:pPr>
        <w:spacing w:line="240" w:lineRule="auto"/>
        <w:jc w:val="both"/>
        <w:rPr>
          <w:rFonts w:ascii="Open Sans" w:hAnsi="Open Sans" w:cs="Open Sans"/>
          <w:sz w:val="20"/>
          <w:szCs w:val="20"/>
        </w:rPr>
      </w:pPr>
      <w:r w:rsidRPr="004F0C55">
        <w:rPr>
          <w:rFonts w:ascii="Open Sans" w:hAnsi="Open Sans" w:cs="Open Sans"/>
          <w:sz w:val="20"/>
          <w:szCs w:val="20"/>
        </w:rPr>
        <w:t xml:space="preserve">Despite these differences, both aggregates are used indistinctively in the measurement of the World Bank goals to maximize the number of countries monitored. Although this creates issues of comparability in the measurement of poverty, it allows the coverage of the global goals to be expanded. The distinction </w:t>
      </w:r>
      <w:r w:rsidR="00A37748">
        <w:rPr>
          <w:rFonts w:ascii="Open Sans" w:hAnsi="Open Sans" w:cs="Open Sans"/>
          <w:sz w:val="20"/>
          <w:szCs w:val="20"/>
        </w:rPr>
        <w:t>becomes</w:t>
      </w:r>
      <w:r w:rsidRPr="004F0C55">
        <w:rPr>
          <w:rFonts w:ascii="Open Sans" w:hAnsi="Open Sans" w:cs="Open Sans"/>
          <w:sz w:val="20"/>
          <w:szCs w:val="20"/>
        </w:rPr>
        <w:t xml:space="preserve"> more problematic, however, in the analysis of prosperity and inequality where larger parts of the distribution matter. </w:t>
      </w:r>
      <w:r w:rsidR="00B35569">
        <w:rPr>
          <w:rFonts w:ascii="Open Sans" w:hAnsi="Open Sans" w:cs="Open Sans"/>
          <w:sz w:val="20"/>
          <w:szCs w:val="20"/>
        </w:rPr>
        <w:t xml:space="preserve"> A clear issue is that countries</w:t>
      </w:r>
      <w:r w:rsidR="00B35569" w:rsidRPr="004F0C55">
        <w:rPr>
          <w:rFonts w:ascii="Open Sans" w:hAnsi="Open Sans" w:cs="Open Sans"/>
          <w:sz w:val="20"/>
          <w:szCs w:val="20"/>
        </w:rPr>
        <w:t xml:space="preserve"> in Latin America and the Caribbean typically </w:t>
      </w:r>
      <w:r w:rsidR="00B35569">
        <w:rPr>
          <w:rFonts w:ascii="Open Sans" w:hAnsi="Open Sans" w:cs="Open Sans"/>
          <w:sz w:val="20"/>
          <w:szCs w:val="20"/>
        </w:rPr>
        <w:t>use</w:t>
      </w:r>
      <w:r w:rsidR="00B35569" w:rsidRPr="004F0C55">
        <w:rPr>
          <w:rFonts w:ascii="Open Sans" w:hAnsi="Open Sans" w:cs="Open Sans"/>
          <w:sz w:val="20"/>
          <w:szCs w:val="20"/>
        </w:rPr>
        <w:t xml:space="preserve"> income data, while in Sub-Saharan Africa consumption data is more readily available. </w:t>
      </w:r>
      <w:r w:rsidR="00B35569">
        <w:rPr>
          <w:rFonts w:ascii="Open Sans" w:hAnsi="Open Sans" w:cs="Open Sans"/>
          <w:sz w:val="20"/>
          <w:szCs w:val="20"/>
        </w:rPr>
        <w:t xml:space="preserve">The two regions stand out with high levels of inequality, but the differences in their underlying welfare measures makes </w:t>
      </w:r>
      <w:r w:rsidR="000F21DF">
        <w:rPr>
          <w:rFonts w:ascii="Open Sans" w:hAnsi="Open Sans" w:cs="Open Sans"/>
          <w:sz w:val="20"/>
          <w:szCs w:val="20"/>
        </w:rPr>
        <w:t>it</w:t>
      </w:r>
      <w:r w:rsidR="00B35569">
        <w:rPr>
          <w:rFonts w:ascii="Open Sans" w:hAnsi="Open Sans" w:cs="Open Sans"/>
          <w:sz w:val="20"/>
          <w:szCs w:val="20"/>
        </w:rPr>
        <w:t xml:space="preserve"> difficult to compare their levels of inequality.</w:t>
      </w:r>
      <w:r w:rsidR="00B35569" w:rsidRPr="004F0C55">
        <w:rPr>
          <w:rFonts w:ascii="Open Sans" w:hAnsi="Open Sans" w:cs="Open Sans"/>
          <w:sz w:val="20"/>
          <w:szCs w:val="20"/>
        </w:rPr>
        <w:t xml:space="preserve">  </w:t>
      </w:r>
    </w:p>
    <w:p w14:paraId="77FDC2FE" w14:textId="71E1C9C6" w:rsidR="00A37748" w:rsidRDefault="007F06CC" w:rsidP="00A37748">
      <w:pPr>
        <w:spacing w:line="240" w:lineRule="auto"/>
        <w:jc w:val="both"/>
        <w:rPr>
          <w:rFonts w:ascii="Open Sans" w:hAnsi="Open Sans" w:cs="Open Sans"/>
          <w:sz w:val="20"/>
          <w:szCs w:val="20"/>
        </w:rPr>
      </w:pPr>
      <w:r>
        <w:rPr>
          <w:rFonts w:ascii="Open Sans" w:hAnsi="Open Sans" w:cs="Open Sans"/>
          <w:sz w:val="20"/>
          <w:szCs w:val="20"/>
        </w:rPr>
        <w:t>E</w:t>
      </w:r>
      <w:r w:rsidR="00A37748" w:rsidRPr="004F0C55">
        <w:rPr>
          <w:rFonts w:ascii="Open Sans" w:hAnsi="Open Sans" w:cs="Open Sans"/>
          <w:sz w:val="20"/>
          <w:szCs w:val="20"/>
        </w:rPr>
        <w:t xml:space="preserve">arlier </w:t>
      </w:r>
      <w:r w:rsidR="004311D6" w:rsidRPr="004311D6">
        <w:rPr>
          <w:rFonts w:ascii="Open Sans" w:hAnsi="Open Sans" w:cs="Open Sans"/>
          <w:sz w:val="20"/>
          <w:szCs w:val="20"/>
        </w:rPr>
        <w:t>studies indicate</w:t>
      </w:r>
      <w:r>
        <w:rPr>
          <w:rFonts w:ascii="Open Sans" w:hAnsi="Open Sans" w:cs="Open Sans"/>
          <w:sz w:val="20"/>
          <w:szCs w:val="20"/>
        </w:rPr>
        <w:t xml:space="preserve"> </w:t>
      </w:r>
      <w:r w:rsidR="00A37748" w:rsidRPr="004F0C55">
        <w:rPr>
          <w:rFonts w:ascii="Open Sans" w:hAnsi="Open Sans" w:cs="Open Sans"/>
          <w:sz w:val="20"/>
          <w:szCs w:val="20"/>
        </w:rPr>
        <w:t>that while levels</w:t>
      </w:r>
      <w:r w:rsidR="004311D6" w:rsidRPr="004311D6">
        <w:rPr>
          <w:rFonts w:ascii="Open Sans" w:hAnsi="Open Sans" w:cs="Open Sans"/>
          <w:sz w:val="20"/>
          <w:szCs w:val="20"/>
        </w:rPr>
        <w:t xml:space="preserve"> of inequality may differ</w:t>
      </w:r>
      <w:r w:rsidR="00A37748" w:rsidRPr="004F0C55">
        <w:rPr>
          <w:rFonts w:ascii="Open Sans" w:hAnsi="Open Sans" w:cs="Open Sans"/>
          <w:sz w:val="20"/>
          <w:szCs w:val="20"/>
        </w:rPr>
        <w:t>, the change in inequality</w:t>
      </w:r>
      <w:r w:rsidR="004311D6" w:rsidRPr="004311D6">
        <w:rPr>
          <w:rFonts w:ascii="Open Sans" w:hAnsi="Open Sans" w:cs="Open Sans"/>
          <w:sz w:val="20"/>
          <w:szCs w:val="20"/>
        </w:rPr>
        <w:t xml:space="preserve"> and country rankings are relatively consistent regardless of whether income or consumption measures are used. </w:t>
      </w:r>
      <w:proofErr w:type="gramStart"/>
      <w:r w:rsidR="004311D6" w:rsidRPr="004311D6">
        <w:rPr>
          <w:rFonts w:ascii="Open Sans" w:hAnsi="Open Sans" w:cs="Open Sans"/>
          <w:sz w:val="20"/>
          <w:szCs w:val="20"/>
        </w:rPr>
        <w:t>World Bank (2016),</w:t>
      </w:r>
      <w:proofErr w:type="gramEnd"/>
      <w:r w:rsidR="004311D6" w:rsidRPr="004311D6">
        <w:rPr>
          <w:rFonts w:ascii="Open Sans" w:hAnsi="Open Sans" w:cs="Open Sans"/>
          <w:sz w:val="20"/>
          <w:szCs w:val="20"/>
        </w:rPr>
        <w:t xml:space="preserve"> </w:t>
      </w:r>
      <w:r w:rsidR="006D0683">
        <w:rPr>
          <w:rFonts w:ascii="Open Sans" w:hAnsi="Open Sans" w:cs="Open Sans"/>
          <w:sz w:val="20"/>
          <w:szCs w:val="20"/>
        </w:rPr>
        <w:t xml:space="preserve">compares </w:t>
      </w:r>
      <w:r w:rsidR="004311D6" w:rsidRPr="004311D6">
        <w:rPr>
          <w:rFonts w:ascii="Open Sans" w:hAnsi="Open Sans" w:cs="Open Sans"/>
          <w:sz w:val="20"/>
          <w:szCs w:val="20"/>
        </w:rPr>
        <w:t>both income- and consumption-based Gini indexes</w:t>
      </w:r>
      <w:r w:rsidR="00A37748">
        <w:rPr>
          <w:rFonts w:ascii="Open Sans" w:hAnsi="Open Sans" w:cs="Open Sans"/>
          <w:sz w:val="20"/>
          <w:szCs w:val="20"/>
        </w:rPr>
        <w:t xml:space="preserve"> across </w:t>
      </w:r>
      <w:r w:rsidR="004311D6" w:rsidRPr="004311D6">
        <w:rPr>
          <w:rFonts w:ascii="Open Sans" w:hAnsi="Open Sans" w:cs="Open Sans"/>
          <w:sz w:val="20"/>
          <w:szCs w:val="20"/>
        </w:rPr>
        <w:t xml:space="preserve">several </w:t>
      </w:r>
      <w:r w:rsidR="00A37748">
        <w:rPr>
          <w:rFonts w:ascii="Open Sans" w:hAnsi="Open Sans" w:cs="Open Sans"/>
          <w:sz w:val="20"/>
          <w:szCs w:val="20"/>
        </w:rPr>
        <w:t>countries</w:t>
      </w:r>
      <w:r w:rsidR="004311D6" w:rsidRPr="004311D6">
        <w:rPr>
          <w:rFonts w:ascii="Open Sans" w:hAnsi="Open Sans" w:cs="Open Sans"/>
          <w:sz w:val="20"/>
          <w:szCs w:val="20"/>
        </w:rPr>
        <w:t xml:space="preserve"> in Eastern Europe and Central Asia for the same years. Figure 1b plots the income Gini (left </w:t>
      </w:r>
      <w:r w:rsidR="004311D6" w:rsidRPr="004311D6">
        <w:rPr>
          <w:rFonts w:ascii="Open Sans" w:hAnsi="Open Sans" w:cs="Open Sans"/>
          <w:sz w:val="20"/>
          <w:szCs w:val="20"/>
        </w:rPr>
        <w:lastRenderedPageBreak/>
        <w:t>axis) against the consumption Gini (right axis) for all the countries where such a comparison</w:t>
      </w:r>
      <w:r w:rsidR="00A37748" w:rsidRPr="004F0C55">
        <w:rPr>
          <w:rFonts w:ascii="Open Sans" w:hAnsi="Open Sans" w:cs="Open Sans"/>
          <w:sz w:val="20"/>
          <w:szCs w:val="20"/>
        </w:rPr>
        <w:t xml:space="preserve"> is </w:t>
      </w:r>
      <w:r w:rsidR="004311D6" w:rsidRPr="004311D6">
        <w:rPr>
          <w:rFonts w:ascii="Open Sans" w:hAnsi="Open Sans" w:cs="Open Sans"/>
          <w:sz w:val="20"/>
          <w:szCs w:val="20"/>
        </w:rPr>
        <w:t>possible for 2013. It is evident that consumption-based Gini indexes are considerably lower than income-based Gini indexes. However, the rankings remain relatively</w:t>
      </w:r>
      <w:r w:rsidR="00A37748" w:rsidRPr="004F0C55">
        <w:rPr>
          <w:rFonts w:ascii="Open Sans" w:hAnsi="Open Sans" w:cs="Open Sans"/>
          <w:sz w:val="20"/>
          <w:szCs w:val="20"/>
        </w:rPr>
        <w:t xml:space="preserve"> similar</w:t>
      </w:r>
      <w:r w:rsidR="004311D6" w:rsidRPr="004311D6">
        <w:rPr>
          <w:rFonts w:ascii="Open Sans" w:hAnsi="Open Sans" w:cs="Open Sans"/>
          <w:sz w:val="20"/>
          <w:szCs w:val="20"/>
        </w:rPr>
        <w:t>.</w:t>
      </w:r>
      <w:r w:rsidR="004D2448" w:rsidRPr="004D2448">
        <w:t xml:space="preserve"> </w:t>
      </w:r>
      <w:r w:rsidR="004D2448" w:rsidRPr="004D2448">
        <w:rPr>
          <w:rFonts w:ascii="Open Sans" w:hAnsi="Open Sans" w:cs="Open Sans"/>
          <w:sz w:val="20"/>
          <w:szCs w:val="20"/>
        </w:rPr>
        <w:t>Figure 1b also examines whether inequality trends differ when using consumption instead of income.</w:t>
      </w:r>
      <w:r w:rsidR="00993CD2">
        <w:rPr>
          <w:rFonts w:ascii="Open Sans" w:hAnsi="Open Sans" w:cs="Open Sans"/>
          <w:sz w:val="20"/>
          <w:szCs w:val="20"/>
        </w:rPr>
        <w:t xml:space="preserve"> The analysis</w:t>
      </w:r>
      <w:r w:rsidR="00A37748" w:rsidRPr="004F0C55">
        <w:rPr>
          <w:rFonts w:ascii="Open Sans" w:hAnsi="Open Sans" w:cs="Open Sans"/>
          <w:sz w:val="20"/>
          <w:szCs w:val="20"/>
        </w:rPr>
        <w:t xml:space="preserve"> in </w:t>
      </w:r>
      <w:r w:rsidR="00E40579">
        <w:rPr>
          <w:rFonts w:ascii="Open Sans" w:hAnsi="Open Sans" w:cs="Open Sans"/>
          <w:sz w:val="20"/>
          <w:szCs w:val="20"/>
        </w:rPr>
        <w:t>Figure 4 of chapter</w:t>
      </w:r>
      <w:r w:rsidR="00A37748" w:rsidRPr="004F0C55">
        <w:rPr>
          <w:rFonts w:ascii="Open Sans" w:hAnsi="Open Sans" w:cs="Open Sans"/>
          <w:sz w:val="20"/>
          <w:szCs w:val="20"/>
        </w:rPr>
        <w:t xml:space="preserve"> 2</w:t>
      </w:r>
      <w:r w:rsidR="00E40579">
        <w:rPr>
          <w:rFonts w:ascii="Open Sans" w:hAnsi="Open Sans" w:cs="Open Sans"/>
          <w:sz w:val="20"/>
          <w:szCs w:val="20"/>
        </w:rPr>
        <w:t xml:space="preserve"> also points to the same results.</w:t>
      </w:r>
      <w:r w:rsidR="003D148F">
        <w:rPr>
          <w:rFonts w:ascii="Open Sans" w:hAnsi="Open Sans" w:cs="Open Sans"/>
          <w:sz w:val="20"/>
          <w:szCs w:val="20"/>
        </w:rPr>
        <w:t xml:space="preserve"> Yet, significant more work is needed in collecting both income and consumption data and assessing the implications of using one of the other for monitoring global shared prosperity and inequality.</w:t>
      </w:r>
    </w:p>
    <w:p w14:paraId="5EF87325" w14:textId="4EBE3B2D" w:rsidR="00140B1D" w:rsidRPr="005319E6" w:rsidRDefault="00140B1D" w:rsidP="00140B1D">
      <w:pPr>
        <w:spacing w:line="240" w:lineRule="auto"/>
        <w:jc w:val="both"/>
        <w:rPr>
          <w:rFonts w:ascii="Open Sans" w:hAnsi="Open Sans" w:cs="Open Sans"/>
          <w:b/>
          <w:sz w:val="20"/>
          <w:szCs w:val="20"/>
        </w:rPr>
      </w:pPr>
      <w:r w:rsidRPr="005319E6">
        <w:rPr>
          <w:rFonts w:ascii="Open Sans" w:hAnsi="Open Sans" w:cs="Open Sans"/>
          <w:b/>
          <w:sz w:val="20"/>
          <w:szCs w:val="20"/>
        </w:rPr>
        <w:t xml:space="preserve">Figure </w:t>
      </w:r>
      <w:r w:rsidR="004C77D9" w:rsidRPr="005319E6">
        <w:rPr>
          <w:rFonts w:ascii="Open Sans" w:hAnsi="Open Sans" w:cs="Open Sans"/>
          <w:b/>
          <w:sz w:val="20"/>
          <w:szCs w:val="20"/>
        </w:rPr>
        <w:t>1.</w:t>
      </w:r>
      <w:r w:rsidR="00673BE7" w:rsidRPr="005319E6">
        <w:rPr>
          <w:rFonts w:ascii="Open Sans" w:hAnsi="Open Sans" w:cs="Open Sans"/>
          <w:b/>
          <w:sz w:val="20"/>
          <w:szCs w:val="20"/>
        </w:rPr>
        <w:t xml:space="preserve"> Inequality </w:t>
      </w:r>
      <w:r w:rsidR="002F5A76" w:rsidRPr="005319E6">
        <w:rPr>
          <w:rFonts w:ascii="Open Sans" w:hAnsi="Open Sans" w:cs="Open Sans"/>
          <w:b/>
          <w:sz w:val="20"/>
          <w:szCs w:val="20"/>
        </w:rPr>
        <w:t xml:space="preserve">levels and trends using income and </w:t>
      </w:r>
      <w:proofErr w:type="gramStart"/>
      <w:r w:rsidR="002F5A76" w:rsidRPr="005319E6">
        <w:rPr>
          <w:rFonts w:ascii="Open Sans" w:hAnsi="Open Sans" w:cs="Open Sans"/>
          <w:b/>
          <w:sz w:val="20"/>
          <w:szCs w:val="20"/>
        </w:rPr>
        <w:t>consumption</w:t>
      </w:r>
      <w:proofErr w:type="gramEnd"/>
    </w:p>
    <w:p w14:paraId="7C66339F" w14:textId="77777777" w:rsidR="00140B1D" w:rsidRPr="00BB7417" w:rsidRDefault="00140B1D" w:rsidP="00140B1D">
      <w:pPr>
        <w:spacing w:line="240" w:lineRule="auto"/>
        <w:rPr>
          <w:rFonts w:ascii="Open Sans" w:hAnsi="Open Sans" w:cs="Open Sans"/>
        </w:rPr>
      </w:pPr>
      <w:r w:rsidRPr="00BB7417">
        <w:rPr>
          <w:rFonts w:ascii="Open Sans" w:hAnsi="Open Sans" w:cs="Open Sans"/>
          <w:noProof/>
        </w:rPr>
        <w:drawing>
          <wp:inline distT="0" distB="0" distL="0" distR="0" wp14:anchorId="77D74B27" wp14:editId="190A31BA">
            <wp:extent cx="5943600" cy="2913380"/>
            <wp:effectExtent l="0" t="0" r="0" b="1270"/>
            <wp:docPr id="916637966" name="Picture 916637966"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37966" name="Picture 916637966" descr="A close-up of a graph&#10;&#10;Description automatically generated"/>
                    <pic:cNvPicPr/>
                  </pic:nvPicPr>
                  <pic:blipFill>
                    <a:blip r:embed="rId18"/>
                    <a:stretch>
                      <a:fillRect/>
                    </a:stretch>
                  </pic:blipFill>
                  <pic:spPr>
                    <a:xfrm>
                      <a:off x="0" y="0"/>
                      <a:ext cx="5943600" cy="2913380"/>
                    </a:xfrm>
                    <a:prstGeom prst="rect">
                      <a:avLst/>
                    </a:prstGeom>
                  </pic:spPr>
                </pic:pic>
              </a:graphicData>
            </a:graphic>
          </wp:inline>
        </w:drawing>
      </w:r>
    </w:p>
    <w:p w14:paraId="31816807" w14:textId="0E2F56BA" w:rsidR="003C1DC4" w:rsidRPr="003C1DC4" w:rsidRDefault="003C1DC4" w:rsidP="00140B1D">
      <w:pPr>
        <w:spacing w:line="240" w:lineRule="auto"/>
        <w:rPr>
          <w:rFonts w:ascii="Open Sans" w:hAnsi="Open Sans" w:cs="Open Sans"/>
          <w:sz w:val="18"/>
          <w:szCs w:val="18"/>
        </w:rPr>
      </w:pPr>
      <w:r w:rsidRPr="003C1DC4">
        <w:rPr>
          <w:rFonts w:ascii="Open Sans" w:hAnsi="Open Sans" w:cs="Open Sans"/>
          <w:sz w:val="18"/>
          <w:szCs w:val="18"/>
        </w:rPr>
        <w:t>Source: Poverty and Shared Prosperity Report 2016. Taking on Inequality. World Bank.</w:t>
      </w:r>
    </w:p>
    <w:p w14:paraId="1B7F2BF7" w14:textId="29F56E55" w:rsidR="00C935B2" w:rsidRDefault="00C935B2">
      <w:pPr>
        <w:spacing w:line="240" w:lineRule="auto"/>
        <w:jc w:val="both"/>
        <w:rPr>
          <w:rFonts w:ascii="Open Sans" w:hAnsi="Open Sans" w:cs="Open Sans"/>
          <w:sz w:val="20"/>
          <w:szCs w:val="20"/>
        </w:rPr>
      </w:pPr>
    </w:p>
    <w:p w14:paraId="458B8EAD" w14:textId="6532FA04" w:rsidR="00F64CB2" w:rsidRPr="00077757" w:rsidRDefault="00A15B3A" w:rsidP="00077757">
      <w:pPr>
        <w:pStyle w:val="Heading4"/>
        <w:spacing w:line="240" w:lineRule="auto"/>
        <w:rPr>
          <w:rFonts w:ascii="Open Sans" w:hAnsi="Open Sans" w:cs="Open Sans"/>
        </w:rPr>
      </w:pPr>
      <w:r w:rsidRPr="00077757">
        <w:rPr>
          <w:rFonts w:ascii="Open Sans" w:hAnsi="Open Sans" w:cs="Open Sans"/>
        </w:rPr>
        <w:t>Capturing t</w:t>
      </w:r>
      <w:r w:rsidR="00F64CB2" w:rsidRPr="00077757">
        <w:rPr>
          <w:rFonts w:ascii="Open Sans" w:hAnsi="Open Sans" w:cs="Open Sans"/>
        </w:rPr>
        <w:t>op incomes</w:t>
      </w:r>
      <w:r w:rsidRPr="00077757">
        <w:rPr>
          <w:rFonts w:ascii="Open Sans" w:hAnsi="Open Sans" w:cs="Open Sans"/>
        </w:rPr>
        <w:t xml:space="preserve"> for measuring inequality</w:t>
      </w:r>
    </w:p>
    <w:p w14:paraId="7D08BAB0" w14:textId="77777777" w:rsidR="00A15B3A" w:rsidRPr="001F3E92" w:rsidRDefault="00A15B3A" w:rsidP="00077757">
      <w:pPr>
        <w:spacing w:line="240" w:lineRule="auto"/>
        <w:jc w:val="both"/>
        <w:rPr>
          <w:rFonts w:ascii="Open Sans" w:hAnsi="Open Sans" w:cs="Open Sans"/>
          <w:sz w:val="20"/>
          <w:szCs w:val="20"/>
        </w:rPr>
      </w:pPr>
    </w:p>
    <w:p w14:paraId="0D203BB8" w14:textId="7A9BC9A4" w:rsidR="009C16B6" w:rsidRPr="009C16B6" w:rsidRDefault="009C16B6" w:rsidP="009C16B6">
      <w:pPr>
        <w:pStyle w:val="NormalWeb"/>
        <w:jc w:val="both"/>
        <w:rPr>
          <w:rFonts w:ascii="Open Sans" w:hAnsi="Open Sans" w:cs="Open Sans"/>
          <w:sz w:val="20"/>
          <w:szCs w:val="20"/>
        </w:rPr>
      </w:pPr>
      <w:commentRangeStart w:id="14"/>
      <w:commentRangeStart w:id="15"/>
      <w:r w:rsidRPr="009C16B6">
        <w:rPr>
          <w:rFonts w:ascii="Open Sans" w:hAnsi="Open Sans" w:cs="Open Sans"/>
          <w:sz w:val="20"/>
          <w:szCs w:val="20"/>
        </w:rPr>
        <w:t>The World Bank indicator on high inequality is derived from household surveys, which often underrepresent the wealthiest individuals due to issues like underreporting and non-response</w:t>
      </w:r>
      <w:r w:rsidR="00DE122D">
        <w:rPr>
          <w:rFonts w:ascii="Open Sans" w:hAnsi="Open Sans" w:cs="Open Sans"/>
          <w:sz w:val="20"/>
          <w:szCs w:val="20"/>
        </w:rPr>
        <w:t xml:space="preserve"> </w:t>
      </w:r>
      <w:r w:rsidR="00DE122D">
        <w:rPr>
          <w:rFonts w:ascii="Open Sans" w:hAnsi="Open Sans" w:cs="Open Sans"/>
          <w:sz w:val="20"/>
          <w:szCs w:val="20"/>
        </w:rPr>
        <w:fldChar w:fldCharType="begin"/>
      </w:r>
      <w:r w:rsidR="004B0C66">
        <w:rPr>
          <w:rFonts w:ascii="Open Sans" w:hAnsi="Open Sans" w:cs="Open Sans"/>
          <w:sz w:val="20"/>
          <w:szCs w:val="20"/>
        </w:rPr>
        <w:instrText xml:space="preserve"> ADDIN ZOTERO_ITEM CSL_CITATION {"citationID":"VZnvGuzS","properties":{"formattedCitation":"(Atkinson and Piketty, 2007; Haddad et al., 2024)","plainCitation":"(Atkinson and Piketty, 2007; Haddad et al., 2024)","noteIndex":0},"citationItems":[{"id":1824,"uris":["http://zotero.org/groups/5125234/items/4Q2LSIJX"],"itemData":{"id":1824,"type":"book","abstract":"Based on a pioneering research programme on the evolution of top incomes, this volume brings together studies from 10 OECD countries. This rapidly growing field of economic research investigates the top segment of the income distribution by using data from income tax records over the past century. As well as describing the source data and methods employed, the authors also discuss the dramatic changes that have occurred at the top of the income scale throughout the 20th century. This fascinating study is the first of its kind to provide a comprehensive historic overview of top income distribution over the last century. It looks at why top incomes shares fell markedly in the first half of the 20th century and why, more recently, there has been a striking difference in the top income distribution between continental Europe and English-speaking OECD countries, like the UK, USA, and Australia. Written by the top names in the field, this seminal work provides rich pickings for those with an interest in inequality, development, the economic impact of war, taxation, economic history, and executive compensation.","event-place":"New York","ISBN":"978-0-19-928688-1","language":"en","note":"Google-Books-ID: dW8TDAAAQBAJ","number-of-pages":"604","publisher":"Oxford University Press","publisher-place":"New York","title":"Top Incomes Over the Twentieth Century: A Contrast Between Continental European and English-Speaking Countries","title-short":"Top Incomes Over the Twentieth Century","author":[{"family":"Atkinson","given":"A. B."},{"family":"Piketty","given":"Thomas"}],"issued":{"date-parts":[["2007",5,10]]}}},{"id":1823,"uris":["http://zotero.org/groups/5125234/items/TC24BS49"],"itemData":{"id":1823,"type":"article-journal","container-title":"World Bank Policy Research Working Paper Series","issue":"10796","note":"publisher: The World Bank","title":"The World Bank’s New Inequality Indicat or: The Number of Countries with High Inequality","author":[{"family":"Haddad","given":"Cameron Nadim"},{"family":"Mahler","given":"Daniel Gerszon"},{"family":"Diaz-Bonilla","given":"Carolina"},{"family":"Hill","given":"Ruth"},{"family":"Lakner","given":"Christoph"},{"family":"Lara Ibarra","given":"Gabriel"}],"issued":{"date-parts":[["2024"]]}}}],"schema":"https://github.com/citation-style-language/schema/raw/master/csl-citation.json"} </w:instrText>
      </w:r>
      <w:r w:rsidR="00DE122D">
        <w:rPr>
          <w:rFonts w:ascii="Open Sans" w:hAnsi="Open Sans" w:cs="Open Sans"/>
          <w:sz w:val="20"/>
          <w:szCs w:val="20"/>
        </w:rPr>
        <w:fldChar w:fldCharType="separate"/>
      </w:r>
      <w:r w:rsidR="004B0C66" w:rsidRPr="004B0C66">
        <w:rPr>
          <w:rFonts w:ascii="Open Sans" w:hAnsi="Open Sans" w:cs="Open Sans"/>
          <w:sz w:val="20"/>
        </w:rPr>
        <w:t>(Atkinson and Piketty, 2007; Haddad et al., 2024)</w:t>
      </w:r>
      <w:r w:rsidR="00DE122D">
        <w:rPr>
          <w:rFonts w:ascii="Open Sans" w:hAnsi="Open Sans" w:cs="Open Sans"/>
          <w:sz w:val="20"/>
          <w:szCs w:val="20"/>
        </w:rPr>
        <w:fldChar w:fldCharType="end"/>
      </w:r>
      <w:r w:rsidRPr="009C16B6">
        <w:rPr>
          <w:rFonts w:ascii="Open Sans" w:hAnsi="Open Sans" w:cs="Open Sans"/>
          <w:sz w:val="20"/>
          <w:szCs w:val="20"/>
        </w:rPr>
        <w:t>. The smaller sample size of the very rich exacerbates this problem. Additionally, surveys typically fail to adequately capture entrepreneurial and capital income</w:t>
      </w:r>
      <w:r w:rsidR="00834CAE">
        <w:rPr>
          <w:rFonts w:ascii="Open Sans" w:hAnsi="Open Sans" w:cs="Open Sans"/>
          <w:sz w:val="20"/>
          <w:szCs w:val="20"/>
        </w:rPr>
        <w:t xml:space="preserve"> </w:t>
      </w:r>
      <w:r w:rsidR="00590415">
        <w:rPr>
          <w:rFonts w:ascii="Open Sans" w:hAnsi="Open Sans" w:cs="Open Sans"/>
          <w:sz w:val="20"/>
          <w:szCs w:val="20"/>
        </w:rPr>
        <w:fldChar w:fldCharType="begin"/>
      </w:r>
      <w:r w:rsidR="001E7938">
        <w:rPr>
          <w:rFonts w:ascii="Open Sans" w:hAnsi="Open Sans" w:cs="Open Sans"/>
          <w:sz w:val="20"/>
          <w:szCs w:val="20"/>
        </w:rPr>
        <w:instrText xml:space="preserve"> ADDIN ZOTERO_ITEM CSL_CITATION {"citationID":"nxrGTpqn","properties":{"formattedCitation":"(Burkhauser et al., 2015; Flachaire et al., 2023; Piketty et al., 2019; Yonzan et al., 2022)","plainCitation":"(Burkhauser et al., 2015; Flachaire et al., 2023; Piketty et al., 2019; Yonzan et al., 2022)","noteIndex":0},"citationItems":[{"id":1831,"uris":["http://zotero.org/groups/5125234/items/XNY2NR7J"],"itemData":{"id":1831,"type":"article-journal","abstract":"Atkinson et al. (J. Econ. Lit. 49(1):3–71, 2011) survey an important new literature using income-tax-based data to measure the share of income held by top income groups. But changes in tax legislation that expand the tax base to include income sources (e.g. capital gains, dividends, etc.) disproportionately held by these groups will conflate such an expansion with an increase in the share of income they hold. We provide a cautionary tale from Australia of how comprehensive tax reform legislation in 1985 substantially altered Australian top income series, especially those that do not separate taxable realized capital gains from other taxable income. Drawing on the Household, Income and Labour Dynamics in Australia (HILDA) Survey we then estimate the size and distribution (across income groups) of taxable realized capital gains in 2006 and 2009, and compare these results with those using accrued capital gains, finding substantially different distributions. More importantly, we find substantial differences across our measures in how capital gains changed between 2006 and 2009. Our results suggest that yearly taxable realized capital gains, often included in studies of top incomes, might be a poor proxy for the theoretically more appropriate yearly accrued capital gains.","container-title":"The Journal of Economic Inequality","DOI":"10.1007/s10888-014-9281-z","ISSN":"1573-8701","issue":"2","journalAbbreviation":"J Econ Inequal","language":"en","page":"181-205","source":"Springer Link","title":"Measuring top incomes using tax record data: a cautionary tale from Australia","title-short":"Measuring top incomes using tax record data","volume":"13","author":[{"family":"Burkhauser","given":"Richard V."},{"family":"Hahn","given":"Markus H."},{"family":"Wilkins","given":"Roger"}],"issued":{"date-parts":[["2015",6,1]]}}},{"id":1826,"uris":["http://zotero.org/groups/5125234/items/R7K7EWC4"],"itemData":{"id":1826,"type":"article-journal","abstract":"Household surveys do not capture incomes at the top of the distribution well. This yields biased inequality measures. We compare the performance of the reweighting and replacing methods to address top incomes underreporting in surveys using information from tax records. The biggest challenge is that the true threshold above which underreporting occurs is unknown. Relying on simulation, we construct a hypothetical true distribution and a “distorted” distribution that mimics an underreporting pattern found in a novel linked data for Uruguay. Our simulations show that if one chooses a threshold that is not close to the true one, corrected inequality measures may be significantly biased. Interestingly, the bias using the replacing method is less sensitive to the choice of threshold. We approach the threshold selection challenge in practice using the Uruguayan linked data. Our findings are analogous to the simulation exercise. These results, however, should not be considered a general assessment of the two methods.","container-title":"Review of Income and Wealth","DOI":"10.1111/roiw.12618","ISSN":"1475-4991","issue":"4","language":"en","license":"© 2022 The Authors. Review of Income and Wealth published by John Wiley &amp; Sons Ltd on behalf of International Association for Research in Income and Wealth.","note":"_eprint: https://onlinelibrary.wiley.com/doi/pdf/10.1111/roiw.12618","page":"1033-1059","source":"Wiley Online Library","title":"Underreporting of Top Incomes and Inequality: A Comparison of Correction Methods using Simulations and Linked Survey and Tax Data","title-short":"Underreporting of Top Incomes and Inequality","volume":"69","author":[{"family":"Flachaire","given":"Emmanuel"},{"family":"Lustig","given":"Nora"},{"family":"Vigorito","given":"Andrea"}],"issued":{"date-parts":[["2023"]]}}},{"id":1833,"uris":["http://zotero.org/groups/5125234/items/DEGSN58G"],"itemData":{"id":1833,"type":"article-journal","abstract":"We combine national accounts, surveys, and new tax data to study the accumulation and distribution of income and wealth in China from 1978 to 2015. The national wealth-income ratio increased from 350 percent in 1978 to 700 percent in 2015, while the share of public property in national wealth declined from 70 percent to 30 percent. We provide sharp upward revision of official inequality estimates. The top 10 percent income share rose from 27 percent to 41 percent between 1978 and 2015; the bottom 50 percent share dropped from 27 percent to 15 percent. China's inequality levels used to be close to Nordic countries and are now approaching US levels.","container-title":"American Economic Review","DOI":"10.1257/aer.20170973","ISSN":"0002-8282","issue":"7","language":"en","page":"2469-2496","source":"www.aeaweb.org","title":"Capital Accumulation, Private Property, and Rising Inequality in China, 1978–2015","volume":"109","author":[{"family":"Piketty","given":"Thomas"},{"family":"Yang","given":"Li"},{"family":"Zucman","given":"Gabriel"}],"issued":{"date-parts":[["2019",7]]}}},{"id":1829,"uris":["http://zotero.org/groups/5125234/items/X6PB6ATU"],"itemData":{"id":1829,"type":"article-journal","abstract":"The paper uses the flexibility of household survey data to align their income categories and recipient units with the income categories and units found in data produced by tax authorities. Our analyses, ba</w:instrText>
      </w:r>
      <w:r w:rsidR="001E7938" w:rsidRPr="00693DE0">
        <w:rPr>
          <w:rFonts w:ascii="Open Sans" w:hAnsi="Open Sans" w:cs="Open Sans"/>
          <w:sz w:val="20"/>
          <w:szCs w:val="20"/>
          <w:lang w:val="fr-FR"/>
        </w:rPr>
        <w:instrText xml:space="preserve">sed on a standardized definition of fiscal income, allow us to locate, for top-income groups, the sources of discrepancy. We find, using the cases of the United States, Germany, and France, that the results from survey-based and tax data correspond extremely well (in terms of total income, mean income, composition of income, and income shares) above the 90th percentile and up to the top 1% of the distribution. Information about income composition, available in the US, allows us to investigate the determinants of this gap in the US. About three-fourths of the tax/survey gap is due to differences in non-labor incomes, especially self-employment (business) income. The gap itself may be due to tax-induced re-classification of income from corporate to personal or/and to lower ability of surveys to capture top 1% incomes.","container-title":"The Journal of Economic Inequality","DOI":"10.1007/s10888-021-09515-5","ISSN":"1573-8701","issue":"1","journalAbbreviation":"J Econ Inequal","language":"en","page":"67-95","source":"Springer Link","title":"Drawing a Line: Comparing the Estimation of Top Incomes between Tax Data and Household Survey Data","title-short":"Drawing a Line","volume":"20","author":[{"family":"Yonzan","given":"Nishant"},{"family":"Milanovic","given":"Branko"},{"family":"Morelli","given":"Salvatore"},{"family":"Gornick","given":"Janet"}],"issued":{"date-parts":[["2022",3,1]]}}}],"schema":"https://github.com/citation-style-language/schema/raw/master/csl-citation.json"} </w:instrText>
      </w:r>
      <w:r w:rsidR="00590415">
        <w:rPr>
          <w:rFonts w:ascii="Open Sans" w:hAnsi="Open Sans" w:cs="Open Sans"/>
          <w:sz w:val="20"/>
          <w:szCs w:val="20"/>
        </w:rPr>
        <w:fldChar w:fldCharType="separate"/>
      </w:r>
      <w:r w:rsidR="001E7938" w:rsidRPr="00693DE0">
        <w:rPr>
          <w:rFonts w:ascii="Open Sans" w:hAnsi="Open Sans" w:cs="Open Sans"/>
          <w:sz w:val="20"/>
          <w:lang w:val="fr-FR"/>
        </w:rPr>
        <w:t>(</w:t>
      </w:r>
      <w:proofErr w:type="spellStart"/>
      <w:r w:rsidR="001E7938" w:rsidRPr="00693DE0">
        <w:rPr>
          <w:rFonts w:ascii="Open Sans" w:hAnsi="Open Sans" w:cs="Open Sans"/>
          <w:sz w:val="20"/>
          <w:lang w:val="fr-FR"/>
        </w:rPr>
        <w:t>Burkhauser</w:t>
      </w:r>
      <w:proofErr w:type="spellEnd"/>
      <w:r w:rsidR="001E7938" w:rsidRPr="00693DE0">
        <w:rPr>
          <w:rFonts w:ascii="Open Sans" w:hAnsi="Open Sans" w:cs="Open Sans"/>
          <w:sz w:val="20"/>
          <w:lang w:val="fr-FR"/>
        </w:rPr>
        <w:t xml:space="preserve"> et al., 2015; </w:t>
      </w:r>
      <w:proofErr w:type="spellStart"/>
      <w:r w:rsidR="001E7938" w:rsidRPr="00693DE0">
        <w:rPr>
          <w:rFonts w:ascii="Open Sans" w:hAnsi="Open Sans" w:cs="Open Sans"/>
          <w:sz w:val="20"/>
          <w:lang w:val="fr-FR"/>
        </w:rPr>
        <w:t>Flachaire</w:t>
      </w:r>
      <w:proofErr w:type="spellEnd"/>
      <w:r w:rsidR="001E7938" w:rsidRPr="00693DE0">
        <w:rPr>
          <w:rFonts w:ascii="Open Sans" w:hAnsi="Open Sans" w:cs="Open Sans"/>
          <w:sz w:val="20"/>
          <w:lang w:val="fr-FR"/>
        </w:rPr>
        <w:t xml:space="preserve"> et al., 2023; Piketty et al., 2019; </w:t>
      </w:r>
      <w:proofErr w:type="spellStart"/>
      <w:r w:rsidR="001E7938" w:rsidRPr="00693DE0">
        <w:rPr>
          <w:rFonts w:ascii="Open Sans" w:hAnsi="Open Sans" w:cs="Open Sans"/>
          <w:sz w:val="20"/>
          <w:lang w:val="fr-FR"/>
        </w:rPr>
        <w:t>Yonzan</w:t>
      </w:r>
      <w:proofErr w:type="spellEnd"/>
      <w:r w:rsidR="001E7938" w:rsidRPr="00693DE0">
        <w:rPr>
          <w:rFonts w:ascii="Open Sans" w:hAnsi="Open Sans" w:cs="Open Sans"/>
          <w:sz w:val="20"/>
          <w:lang w:val="fr-FR"/>
        </w:rPr>
        <w:t xml:space="preserve"> et al., 2022)</w:t>
      </w:r>
      <w:r w:rsidR="00590415">
        <w:rPr>
          <w:rFonts w:ascii="Open Sans" w:hAnsi="Open Sans" w:cs="Open Sans"/>
          <w:sz w:val="20"/>
          <w:szCs w:val="20"/>
        </w:rPr>
        <w:fldChar w:fldCharType="end"/>
      </w:r>
      <w:r w:rsidRPr="00693DE0">
        <w:rPr>
          <w:rFonts w:ascii="Open Sans" w:hAnsi="Open Sans" w:cs="Open Sans"/>
          <w:sz w:val="20"/>
          <w:szCs w:val="20"/>
          <w:lang w:val="fr-FR"/>
        </w:rPr>
        <w:t xml:space="preserve">. </w:t>
      </w:r>
      <w:r w:rsidRPr="009C16B6">
        <w:rPr>
          <w:rFonts w:ascii="Open Sans" w:hAnsi="Open Sans" w:cs="Open Sans"/>
          <w:sz w:val="20"/>
          <w:szCs w:val="20"/>
        </w:rPr>
        <w:t xml:space="preserve">As a result, inequality measured using survey data is generally lower than when using data that includes the wealthy, such as administrative tax records </w:t>
      </w:r>
      <w:r w:rsidR="006A5606">
        <w:rPr>
          <w:rFonts w:ascii="Open Sans" w:hAnsi="Open Sans" w:cs="Open Sans"/>
          <w:sz w:val="20"/>
          <w:szCs w:val="20"/>
        </w:rPr>
        <w:fldChar w:fldCharType="begin"/>
      </w:r>
      <w:r w:rsidR="00631D7B">
        <w:rPr>
          <w:rFonts w:ascii="Open Sans" w:hAnsi="Open Sans" w:cs="Open Sans"/>
          <w:sz w:val="20"/>
          <w:szCs w:val="20"/>
        </w:rPr>
        <w:instrText xml:space="preserve"> ADDIN ZOTERO_ITEM CSL_CITATION {"citationID":"BXPa8piN","properties":{"formattedCitation":"(Piketty and Saez, 2006; Saez and Zucman, 2016)","plainCitation":"(Piketty and Saez, 2006; Saez and Zucman, 2016)","noteIndex":0},"citationItems":[{"id":1835,"uris":["http://zotero.org/groups/5125234/items/IWJKKLYG"],"itemData":{"id":1835,"type":"article-journal","container-title":"American Economic Review","DOI":"10.1257/000282806777212116","ISSN":"0002-8282","issue":"2","language":"en","page":"200-205","source":"www.aeaweb.org","title":"The Evolution of Top Incomes: A Historical and International Perspective","title-short":"The Evolution of Top Incomes","volume":"96","author":[{"family":"Piketty","given":"Thomas"},{"family":"Saez","given":"Emmanuel"}],"issued":{"date-parts":[["2006",5]]}}},{"id":1837,"uris":["http://zotero.org/groups/5125234/items/A67XU67F"],"itemData":{"id":1837,"type":"article-journal","abstract":"This paper combines income tax returns with macroeconomic household balance sheets to estimate the distribution of wealth in the United States since 1913. We estimate wealth by capitalizing the incomes reported by individual taxpayers, accounting for assets that do not generate taxable income. We successfully test our capitalization method in three micro datasets where we can observe both income and wealth: the Survey of Consumer Finance, linked estate and income tax returns, and foundations’ tax records. We find that wealth concentration was high in the beginning of the twentieth century, fell from 1929 to 1978, and has continuously increased since then. The top 0.1% wealth share has risen from 7% in 1978 to 22% in 2012, a level almost as high as in 1929. Top wealth-holders are younger today than in the 1960s and earn a higher fraction of the economy’s labor income. The bottom 90% wealth share first increased up to the mid-1980s and then steadily declined. The increase in wealth inequality in recent decades is due to the upsurge of top incomes combined with an increase in saving rate inequality. We explain how our findings can be reconciled with Survey of Consumer Finances and estate tax data.","container-title":"The Quarterly Journal of Economics","DOI":"10.1093/qje/qjw004","ISSN":"0033-5533","issue":"2","journalAbbreviation":"The Quarterly Journal of Economics","page":"519-578","source":"Silverchair","title":"Wealth Inequality in the United States since 1913: Evidence from Capitalized Income Tax Data *","title-short":"Wealth Inequality in the United States since 1913","volume":"131","author":[{"family":"Saez","given":"Emmanuel"},{"family":"Zucman","given":"Gabriel"}],"issued":{"date-parts":[["2016",5,1]]}}}],"schema":"https://github.com/citation-style-language/schema/raw/master/csl-citation.json"} </w:instrText>
      </w:r>
      <w:r w:rsidR="006A5606">
        <w:rPr>
          <w:rFonts w:ascii="Open Sans" w:hAnsi="Open Sans" w:cs="Open Sans"/>
          <w:sz w:val="20"/>
          <w:szCs w:val="20"/>
        </w:rPr>
        <w:fldChar w:fldCharType="separate"/>
      </w:r>
      <w:r w:rsidR="00631D7B" w:rsidRPr="00631D7B">
        <w:rPr>
          <w:rFonts w:ascii="Open Sans" w:hAnsi="Open Sans" w:cs="Open Sans"/>
          <w:sz w:val="20"/>
        </w:rPr>
        <w:t>(Piketty and Saez, 2006; Saez and Zucman, 2016)</w:t>
      </w:r>
      <w:r w:rsidR="006A5606">
        <w:rPr>
          <w:rFonts w:ascii="Open Sans" w:hAnsi="Open Sans" w:cs="Open Sans"/>
          <w:sz w:val="20"/>
          <w:szCs w:val="20"/>
        </w:rPr>
        <w:fldChar w:fldCharType="end"/>
      </w:r>
      <w:r w:rsidRPr="009C16B6">
        <w:rPr>
          <w:rFonts w:ascii="Open Sans" w:hAnsi="Open Sans" w:cs="Open Sans"/>
          <w:sz w:val="20"/>
          <w:szCs w:val="20"/>
        </w:rPr>
        <w:t>.</w:t>
      </w:r>
    </w:p>
    <w:p w14:paraId="289FB087" w14:textId="68F9A488" w:rsidR="009C16B6" w:rsidRPr="009C16B6" w:rsidRDefault="009C16B6" w:rsidP="009C16B6">
      <w:pPr>
        <w:pStyle w:val="NormalWeb"/>
        <w:jc w:val="both"/>
        <w:rPr>
          <w:rFonts w:ascii="Open Sans" w:hAnsi="Open Sans" w:cs="Open Sans"/>
          <w:sz w:val="20"/>
          <w:szCs w:val="20"/>
        </w:rPr>
      </w:pPr>
      <w:r w:rsidRPr="009C16B6">
        <w:rPr>
          <w:rFonts w:ascii="Open Sans" w:hAnsi="Open Sans" w:cs="Open Sans"/>
          <w:sz w:val="20"/>
          <w:szCs w:val="20"/>
        </w:rPr>
        <w:t xml:space="preserve">While tax data is not specifically designed to measure inequality, it better captures the incomes of the wealthy. This leads to higher inequality estimates compared to those derived from surveys alone. Efforts to "correct" the top end of survey data have been made at the country level </w:t>
      </w:r>
      <w:r w:rsidR="00E93CC6">
        <w:rPr>
          <w:rFonts w:ascii="Open Sans" w:hAnsi="Open Sans" w:cs="Open Sans"/>
          <w:sz w:val="20"/>
          <w:szCs w:val="20"/>
        </w:rPr>
        <w:fldChar w:fldCharType="begin"/>
      </w:r>
      <w:r w:rsidR="002D5A32">
        <w:rPr>
          <w:rFonts w:ascii="Open Sans" w:hAnsi="Open Sans" w:cs="Open Sans"/>
          <w:sz w:val="20"/>
          <w:szCs w:val="20"/>
        </w:rPr>
        <w:instrText xml:space="preserve"> ADDIN ZOTERO_ITEM CSL_CITATION {"citationID":"kKDAXGVd","properties":{"formattedCitation":"(Burkhauser et al., 2015; Flachaire et al., 2023; Jenkins, 2017; Piketty et al., 2019)","plainCitation":"(Burkhauser et al., 2015; Flachaire et al., 2023; Jenkins, 2017; Piketty et al., 2019)","noteIndex":0},"citationItems":[{"id":1831,"uris":["http://zotero.org/groups/5125234/items/XNY2NR7J"],"itemData":{"id":1831,"type":"article-journal","abstract":"Atkinson et al. (J. Econ. Lit. 49(1):3–71, 2011) survey an important new literature using income-tax-based data to measure the share of income held by top income groups. But changes in tax legislation that expand the tax base to include income sources (e.g. capital gains, dividends, etc.) disproportionately held by these groups will conflate such an expansion with an increase in the share of income they hold. We provide a cautionary tale from Australia of how comprehensive tax reform legislation in 1985 substantially altered Australian top income series, especially those that do not separate taxable realized capital gains from other taxable income. Drawing on the Household, Income and Labour Dynamics in Australia (HILDA) Survey we then estimate the size and distribution (across income groups) of taxable realized capital gains in 2006 and 2009, and compare these results with those using accrued capital gains, finding substantially different distributions. More importantly, we find substantial differences across our measures in how capital gains changed between 2006 and 2009. Our results suggest that yearly taxable realized capital gains, often included in studies of top incomes, might be a poor proxy for the theoretically more appropriate yearly accrued capital gains.","container-title":"The Journal of Economic Inequality","DOI":"10.1007/s10888-014-9281-z","ISSN":"1573-8701","issue":"2","journalAbbreviation":"J Econ Inequal","language":"en","page":"181-205","source":"Springer Link","title":"Measuring top incomes using tax record data: a cautionary tale from Australia","title-short":"Measuring top incomes using tax record data","volume":"13","author":[{"family":"Burkhauser","given":"Richard V."},{"family":"Hahn","given":"Markus H."},{"family":"Wilkins","given":"Roger"}],"issued":{"date-parts":[["2015",6,1]]}}},{"id":1826,"uris":["http://zotero.org/groups/5125234/items/R7K7EWC4"],"itemData":{"id":1826,"type":"article-journal","abstract":"Household surveys do not capture incomes at the top of the distribution well. This yields biased inequality measures. We compare the performance of the reweighting and replacing methods to address top incomes underreporting in surveys using information from tax records. The biggest challenge is that the true threshold above which underreporting occurs is unknown. Relying on simulation, we construct a hypothetical true distribution and a “distorted” distribution that mimics an underreporting pattern found in a novel linked data for Uruguay. Our simulations show that if one chooses a threshold that is not close to the true one, corrected inequality measures may be significantly biased. Interestingly, the bias using the replacing method is less sensitive to the choice of threshold. We approach the threshold selection challenge in practice using the Uruguayan linked data. Our findings are analogous to the simulation exercise. These results, however, should not be considered a general assessment of the two methods.","container-title":"Review of Income and Wealth","DOI":"10.1111/roiw.12618","ISSN":"1475-4991","issue":"4","language":"en","license":"© 2022 The Authors. Review of Income and Wealth published by John Wiley &amp; Sons Ltd on behalf of International Association for Research in Income and Wealth.","note":"_eprint: https://onlinelibrary.wiley.com/doi/pdf/10.1111/roiw.12618","page":"1033-1059","source":"Wiley Online Library","title":"Underreporting of Top Incomes and Inequality: A Comparison of Correction Methods using Simulations and Linked Survey and Tax Data","title-short":"Underreporting of Top Incomes and Inequality","volume":"69","author":[{"family":"Flachaire","given":"Emmanuel"},{"family":"Lustig","given":"Nora"},{"family":"Vigorito","given":"Andrea"}],"issued":{"date-parts":[["2023"]]}}},{"id":1840,"uris":["http://zotero.org/groups/5125234/items/9FJVSV84"],"itemData":{"id":1840,"type":"article-journal","abstract":"I determine UK income inequality levels and trends by combining inequality estimates from tax return data (for the ‘rich’) and household survey data (for the ‘non-rich’), taking advantage of the better coverage of top incomes in tax return data (which I demonstrate) and creating income variables in the survey data with the same definitions as in the tax data to enhance comparability. For top income recipients, I estimate inequality and mean income by fitting Pareto models to the tax data, examining specification issues in depth, notably whether to use Pareto I or Pareto II (generalized Pareto) models, and the choice of income threshold above which the Pareto models apply. The preferred specification is a Pareto II model with a threshold set at the 99th or 95th percentile (depending on year). Conclusions about aggregate UK inequality trends since the mid-1990s are robust to the way in which tax data are employed. The Gini coefficient for individual gross income rose by around 7% or 8% between 1996/7 and 2007/8, with most of the increase occurring after 2003/4. The corresponding estimate based wholly on the survey data is around −5%.","container-title":"Economica","DOI":"10.1111/ecca.12217","ISSN":"1468-0335","issue":"334","language":"en","license":"© 2016 The London School of Economics and Political Science","note":"_eprint: https://onlinelibrary.wiley.com/doi/pdf/10.1111/ecca.12217","page":"261-289","source":"Wiley Online L</w:instrText>
      </w:r>
      <w:r w:rsidR="002D5A32" w:rsidRPr="00693DE0">
        <w:rPr>
          <w:rFonts w:ascii="Open Sans" w:hAnsi="Open Sans" w:cs="Open Sans"/>
          <w:sz w:val="20"/>
          <w:szCs w:val="20"/>
          <w:lang w:val="fr-FR"/>
        </w:rPr>
        <w:instrText xml:space="preserve">ibrary","title":"Pareto Models, Top Incomes and Recent Trends in UK Income Inequality","volume":"84","author":[{"family":"Jenkins","given":"Stephen P."}],"issued":{"date-parts":[["2017"]]}}},{"id":1833,"uris":["http://zotero.org/groups/5125234/items/DEGSN58G"],"itemData":{"id":1833,"type":"article-journal","abstract":"We combine national accounts, surveys, and new tax data to study the accumulation and distribution of income and wealth in China from 1978 to 2015. The national wealth-income ratio increased from 350 percent in 1978 to 700 percent in 2015, while the share of public property in national wealth declined from 70 percent to 30 percent. We provide sharp upward revision of official inequality estimates. The top 10 percent income share rose from 27 percent to 41 percent between 1978 and 2015; the bottom 50 percent share dropped from 27 percent to 15 percent. China's inequality levels used to be close to Nordic countries and are now approaching US levels.","container-title":"American Economic Review","DOI":"10.1257/aer.20170973","ISSN":"0002-8282","issue":"7","language":"en","page":"2469-2496","source":"www.aeaweb.org","title":"Capital Accumulation, Private Property, and Rising Inequality in China, 1978–2015","volume":"109","author":[{"family":"Piketty","given":"Thomas"},{"family":"Yang","given":"Li"},{"family":"Zucman","given":"Gabriel"}],"issued":{"date-parts":[["2019",7]]}}}],"schema":"https://github.com/citation-style-language/schema/raw/master/csl-citation.json"} </w:instrText>
      </w:r>
      <w:r w:rsidR="00E93CC6">
        <w:rPr>
          <w:rFonts w:ascii="Open Sans" w:hAnsi="Open Sans" w:cs="Open Sans"/>
          <w:sz w:val="20"/>
          <w:szCs w:val="20"/>
        </w:rPr>
        <w:fldChar w:fldCharType="separate"/>
      </w:r>
      <w:r w:rsidR="002D5A32" w:rsidRPr="00693DE0">
        <w:rPr>
          <w:rFonts w:ascii="Open Sans" w:hAnsi="Open Sans" w:cs="Open Sans"/>
          <w:sz w:val="20"/>
          <w:lang w:val="fr-FR"/>
        </w:rPr>
        <w:t>(</w:t>
      </w:r>
      <w:proofErr w:type="spellStart"/>
      <w:r w:rsidR="002D5A32" w:rsidRPr="00693DE0">
        <w:rPr>
          <w:rFonts w:ascii="Open Sans" w:hAnsi="Open Sans" w:cs="Open Sans"/>
          <w:sz w:val="20"/>
          <w:lang w:val="fr-FR"/>
        </w:rPr>
        <w:t>Burkhauser</w:t>
      </w:r>
      <w:proofErr w:type="spellEnd"/>
      <w:r w:rsidR="002D5A32" w:rsidRPr="00693DE0">
        <w:rPr>
          <w:rFonts w:ascii="Open Sans" w:hAnsi="Open Sans" w:cs="Open Sans"/>
          <w:sz w:val="20"/>
          <w:lang w:val="fr-FR"/>
        </w:rPr>
        <w:t xml:space="preserve"> et al., 2015; </w:t>
      </w:r>
      <w:proofErr w:type="spellStart"/>
      <w:r w:rsidR="002D5A32" w:rsidRPr="00693DE0">
        <w:rPr>
          <w:rFonts w:ascii="Open Sans" w:hAnsi="Open Sans" w:cs="Open Sans"/>
          <w:sz w:val="20"/>
          <w:lang w:val="fr-FR"/>
        </w:rPr>
        <w:t>Flachaire</w:t>
      </w:r>
      <w:proofErr w:type="spellEnd"/>
      <w:r w:rsidR="002D5A32" w:rsidRPr="00693DE0">
        <w:rPr>
          <w:rFonts w:ascii="Open Sans" w:hAnsi="Open Sans" w:cs="Open Sans"/>
          <w:sz w:val="20"/>
          <w:lang w:val="fr-FR"/>
        </w:rPr>
        <w:t xml:space="preserve"> et al., 2023; Jenkins, 2017; Piketty et al., 2019)</w:t>
      </w:r>
      <w:r w:rsidR="00E93CC6">
        <w:rPr>
          <w:rFonts w:ascii="Open Sans" w:hAnsi="Open Sans" w:cs="Open Sans"/>
          <w:sz w:val="20"/>
          <w:szCs w:val="20"/>
        </w:rPr>
        <w:fldChar w:fldCharType="end"/>
      </w:r>
      <w:r w:rsidR="00E93CC6" w:rsidRPr="00693DE0">
        <w:rPr>
          <w:rFonts w:ascii="Open Sans" w:hAnsi="Open Sans" w:cs="Open Sans"/>
          <w:sz w:val="20"/>
          <w:szCs w:val="20"/>
          <w:lang w:val="fr-FR"/>
        </w:rPr>
        <w:t>.</w:t>
      </w:r>
      <w:r w:rsidRPr="00693DE0">
        <w:rPr>
          <w:rFonts w:ascii="Open Sans" w:hAnsi="Open Sans" w:cs="Open Sans"/>
          <w:sz w:val="20"/>
          <w:szCs w:val="20"/>
          <w:lang w:val="fr-FR"/>
        </w:rPr>
        <w:t xml:space="preserve"> </w:t>
      </w:r>
      <w:r w:rsidRPr="009C16B6">
        <w:rPr>
          <w:rFonts w:ascii="Open Sans" w:hAnsi="Open Sans" w:cs="Open Sans"/>
          <w:sz w:val="20"/>
          <w:szCs w:val="20"/>
        </w:rPr>
        <w:t>However, outside high-income countries, tax data is limited and often provides an incomplete picture due to the lack of comprehensive personal income taxes</w:t>
      </w:r>
      <w:r w:rsidR="00DE0D09">
        <w:rPr>
          <w:rFonts w:ascii="Open Sans" w:hAnsi="Open Sans" w:cs="Open Sans"/>
          <w:sz w:val="20"/>
          <w:szCs w:val="20"/>
        </w:rPr>
        <w:t xml:space="preserve"> </w:t>
      </w:r>
      <w:r w:rsidR="00DE0D09">
        <w:rPr>
          <w:rFonts w:ascii="Open Sans" w:hAnsi="Open Sans" w:cs="Open Sans"/>
          <w:sz w:val="20"/>
          <w:szCs w:val="20"/>
        </w:rPr>
        <w:fldChar w:fldCharType="begin"/>
      </w:r>
      <w:r w:rsidR="00DE0D09">
        <w:rPr>
          <w:rFonts w:ascii="Open Sans" w:hAnsi="Open Sans" w:cs="Open Sans"/>
          <w:sz w:val="20"/>
          <w:szCs w:val="20"/>
        </w:rPr>
        <w:instrText xml:space="preserve"> ADDIN ZOTERO_ITEM CSL_CITATION {"citationID":"Aeh76coi","properties":{"formattedCitation":"(van der Weide et al., 2018)","plainCitation":"(van der Weide et al., 2018)","noteIndex":0},"citationItems":[{"id":1843,"uris":["http://zotero.org/groups/5125234/items/5J4KE7V4"],"itemData":{"id":1843,"type":"article-journal","abstract":"Household income surveys often fail to capture top incomes, which leads to an underestimation of income inequality. A popular solution is to combine the household survey with data from income tax records, which has been found to result in significant upward corrections of inequality estimates. Unfortunately, tax records are unavailable in many countries, including most of the developing world. In the absence of data from tax records, this study explores the feasibility of using data on house prices to estimate the top tail of the income distribution. In an application to Egypt, where estimates of inequality based on household surveys alone are low by international standards, the study finds strong evidence that inequality is indeed being underestimated by a considerable margin. The Gini index of household per capita income for urban Egypt is found to increase from 39 to 52 after correcting for the missing top tail.","container-title":"Review of Income and Wealth","DOI":"10.1111/roiw.12338","ISSN":"1475-4991","issue":"s1","language":"en","license":"© 2017 International Association for Research in Income and Wealth","note":"_eprint: https://onlinelibrary.wiley.com/doi/pdf/10.1111/roiw.12338","page":"S55-S79","source":"Wiley Online Library","title":"Is Inequality Underestimated in Egypt? Evidence from House Prices","title-short":"Is Inequality Underestimated in Egypt?","volume":"64","author":[{"family":"Weide","given":"Roy","non-dropping-particle":"van der"},{"family":"Lakner","given":"Christoph"},{"family":"Ianchovichina","given":"Elena"}],"issued":{"date-parts":[["2018"]]}}}],"schema":"https://github.com/citation-style-language/schema/raw/master/csl-citation.json"} </w:instrText>
      </w:r>
      <w:r w:rsidR="00DE0D09">
        <w:rPr>
          <w:rFonts w:ascii="Open Sans" w:hAnsi="Open Sans" w:cs="Open Sans"/>
          <w:sz w:val="20"/>
          <w:szCs w:val="20"/>
        </w:rPr>
        <w:fldChar w:fldCharType="separate"/>
      </w:r>
      <w:r w:rsidR="00DE0D09" w:rsidRPr="00DE0D09">
        <w:rPr>
          <w:rFonts w:ascii="Open Sans" w:hAnsi="Open Sans" w:cs="Open Sans"/>
          <w:sz w:val="20"/>
        </w:rPr>
        <w:t>(van der Weide et al., 2018)</w:t>
      </w:r>
      <w:r w:rsidR="00DE0D09">
        <w:rPr>
          <w:rFonts w:ascii="Open Sans" w:hAnsi="Open Sans" w:cs="Open Sans"/>
          <w:sz w:val="20"/>
          <w:szCs w:val="20"/>
        </w:rPr>
        <w:fldChar w:fldCharType="end"/>
      </w:r>
      <w:r w:rsidRPr="009C16B6">
        <w:rPr>
          <w:rFonts w:ascii="Open Sans" w:hAnsi="Open Sans" w:cs="Open Sans"/>
          <w:sz w:val="20"/>
          <w:szCs w:val="20"/>
        </w:rPr>
        <w:t>.</w:t>
      </w:r>
    </w:p>
    <w:p w14:paraId="1143E4BE" w14:textId="4126AE66" w:rsidR="009C16B6" w:rsidRPr="009C16B6" w:rsidRDefault="009C16B6" w:rsidP="009C16B6">
      <w:pPr>
        <w:pStyle w:val="NormalWeb"/>
        <w:jc w:val="both"/>
        <w:rPr>
          <w:rFonts w:ascii="Open Sans" w:hAnsi="Open Sans" w:cs="Open Sans"/>
          <w:sz w:val="20"/>
          <w:szCs w:val="20"/>
        </w:rPr>
      </w:pPr>
      <w:r w:rsidRPr="009C16B6">
        <w:rPr>
          <w:rFonts w:ascii="Open Sans" w:hAnsi="Open Sans" w:cs="Open Sans"/>
          <w:sz w:val="20"/>
          <w:szCs w:val="20"/>
        </w:rPr>
        <w:lastRenderedPageBreak/>
        <w:t xml:space="preserve">Moreover, the best method to combine survey data with administrative records remains unclear. The approach taken to merge these data sources can significantly affect inequality estimates </w:t>
      </w:r>
      <w:r w:rsidR="00B527D1">
        <w:rPr>
          <w:rFonts w:ascii="Open Sans" w:hAnsi="Open Sans" w:cs="Open Sans"/>
          <w:sz w:val="20"/>
          <w:szCs w:val="20"/>
        </w:rPr>
        <w:fldChar w:fldCharType="begin"/>
      </w:r>
      <w:r w:rsidR="009B25E0">
        <w:rPr>
          <w:rFonts w:ascii="Open Sans" w:hAnsi="Open Sans" w:cs="Open Sans"/>
          <w:sz w:val="20"/>
          <w:szCs w:val="20"/>
        </w:rPr>
        <w:instrText xml:space="preserve"> ADDIN ZOTERO_ITEM CSL_CITATION {"citationID":"ijDQSAYd","properties":{"formattedCitation":"(Alvaredo et al., 2023; Auten and Splinter, 2024; Flachaire et al., 2023)","plainCitation":"(Alvaredo et al., 2023; Auten and Splinter, 2024; Flachaire et al., 2023)","noteIndex":0},"citationItems":[{"id":1847,"uris":["http://zotero.org/groups/5125234/items/YHGIRZBN"],"itemData":{"id":1847,"type":"article-journal","abstract":"Drawing on a comprehensive compilation of quantile shares and inequality measures for 34 countries, including over 5,600 estimated Gini coefficients, we review the measurement of income inequality in Latin America and the Caribbean over the last seven decades. Although the evidence from the first quarter century – roughly until the 1970s – is too fragmentary and difficult to compare, clearer patterns emerge for the last fifty years. The central feature of these patterns is a broad inverted U curve, with inequality rising in most countries prior to the 1990s, and falling during the early 21st Century, at least until the mid-2010s, when trends appear to diverge across countries. This broad pattern is modified by country specificities, with considerable variation in timing and magnitude. Whereas this broad picture emerges for income inequality dynamics, there is much more uncertainty about the exact levels of inequality in the region. The uncertainty arises from the disparity in estimates for the same country/year combinations, depending on whether they come from household surveys exclusively; from some combination of surveys and administrative tax data; and on whether they attempt to scale income aggregates to achieve consistency with National Accounts estimates. Since no single method is fully convincing at present, we are left with (often wide) ranges, or bands, of inequality as our best summaries of inequality levels. Reassuringly, however, the dynamic patterns are generally robust across the bands.","language":"eng","note":"issue: 111\nnumber-of-pages: 52\nnumber: 111\npublisher-place: London, UK\npublisher: International Inequalities Institute, London School of Economics and Political Science","title":"Seventy-five years of measuring income inequality in Latin America","URL":"https://www.lse.ac.uk/International-Inequalities/Publications/Working-Papers","author":[{"family":"Alvaredo","given":"Facundo"},{"family":"Bourguignon","given":"François"},{"family":"Ferreira","given":"Francisco H. G."},{"family":"Lustig","given":"Nora"}],"accessed":{"date-parts":[["2024",6,25]]},"issued":{"date-parts":[["2023",9,22]]}}},{"id":1846,"uris":["http://zotero.org/groups/5125234/items/5HDTF7PI"],"itemData":{"id":1846,"type":"article-journal","container-title":"Journal of Political Economy","DOI":"10.1086/728741","ISSN":"0022-3808, 1537-534X","journalAbbreviation":"Journal of Political Economy","language":"en","page":"000-000","source":"DOI.org (Crossref)","title":"Income Inequality in the United States: Using Tax Data to Measure Long-Term Trends","title-short":"Income Inequality in the United States","author":[{"family":"Auten","given":"Gerald"},{"family":"Splinter","given":"David"}],"issued":{"date-parts":[["2024",6,10]]}}},{"id":1826,"uris":["http://zotero.org/groups/5125234/items/R7K7EWC4"],"itemData":{"id":1826,"type":"article-journal","abstract":"Household surveys do not capture incomes at the top of the distribution well. This yields biased inequality measures. We compare the performance of the reweighting and replacing methods to address top incomes underreporting in surveys using information from tax records. The biggest challenge is that the true threshold above which underreporting occurs is unknown. Relying on simulation, we construct a hypothetical true distribution and a “distorted” distribution that mimics an underreporting pattern found in a novel linked data for Uruguay. Our simulations show that if one chooses a threshold that is not close to the true one, corrected inequality measures may be significantly biased. Interestingly, the bias using the replacing method is less sensitive to the choice of threshold. We approach the threshold selection challenge in practice using the Uruguayan linked data. Our findings are analogous to the simulation exercise. These results, however, should not be considered a general assessment of the two methods.","container-title":"Review of Income and Wealth","DOI":"10.1111/roiw.12618","ISSN":"1475-4991","issue":"4","language":"en","license":"© 2022 The Authors. Review of Income and Wealth published by John Wiley &amp; Sons Ltd on behalf of International Association for Research in Income and Wealth.","note":"_eprint: https://onlinelibrary.wiley.com/doi/pdf/10.1111/roiw.12618","page":"1033-1059","source":"Wiley Online Library","title":"Underreporting of Top Incomes and Inequality: A Comparison of Correction Methods using Simulations and Linked Survey and Tax Data","title-short":"Underreporting of Top Incomes and Inequality","volume":"69","author":[{"family":"Flachaire","given":"Emmanuel"},{"family":"Lustig","given":"Nora"},{"family":"Vigorito","given":"Andrea"}],"issued":{"date-parts":[["2023"]]}}}],"schema":"https://github.com/citation-style-language/schema/raw/master/csl-citation.json"} </w:instrText>
      </w:r>
      <w:r w:rsidR="00B527D1">
        <w:rPr>
          <w:rFonts w:ascii="Open Sans" w:hAnsi="Open Sans" w:cs="Open Sans"/>
          <w:sz w:val="20"/>
          <w:szCs w:val="20"/>
        </w:rPr>
        <w:fldChar w:fldCharType="separate"/>
      </w:r>
      <w:r w:rsidR="00E133FD" w:rsidRPr="00E133FD">
        <w:rPr>
          <w:rFonts w:ascii="Open Sans" w:hAnsi="Open Sans" w:cs="Open Sans"/>
          <w:sz w:val="20"/>
        </w:rPr>
        <w:t>(Alvaredo et al., 2023; Auten and Splinter, 2024; Flachaire et al., 2023)</w:t>
      </w:r>
      <w:r w:rsidR="00B527D1">
        <w:rPr>
          <w:rFonts w:ascii="Open Sans" w:hAnsi="Open Sans" w:cs="Open Sans"/>
          <w:sz w:val="20"/>
          <w:szCs w:val="20"/>
        </w:rPr>
        <w:fldChar w:fldCharType="end"/>
      </w:r>
      <w:r w:rsidRPr="009C16B6">
        <w:rPr>
          <w:rFonts w:ascii="Open Sans" w:hAnsi="Open Sans" w:cs="Open Sans"/>
          <w:sz w:val="20"/>
          <w:szCs w:val="20"/>
        </w:rPr>
        <w:t>.</w:t>
      </w:r>
      <w:commentRangeEnd w:id="14"/>
      <w:r w:rsidR="002638DD">
        <w:rPr>
          <w:rStyle w:val="CommentReference"/>
          <w:rFonts w:asciiTheme="minorHAnsi" w:eastAsiaTheme="minorHAnsi" w:hAnsiTheme="minorHAnsi" w:cstheme="minorBidi"/>
        </w:rPr>
        <w:commentReference w:id="14"/>
      </w:r>
      <w:commentRangeEnd w:id="15"/>
      <w:r w:rsidR="0008259C">
        <w:rPr>
          <w:rStyle w:val="CommentReference"/>
          <w:rFonts w:asciiTheme="minorHAnsi" w:eastAsiaTheme="minorHAnsi" w:hAnsiTheme="minorHAnsi" w:cstheme="minorBidi"/>
        </w:rPr>
        <w:commentReference w:id="15"/>
      </w:r>
    </w:p>
    <w:p w14:paraId="486D2DF0" w14:textId="2A345512" w:rsidR="00BA5720" w:rsidRDefault="00113794" w:rsidP="00077757">
      <w:pPr>
        <w:spacing w:line="240" w:lineRule="auto"/>
        <w:jc w:val="both"/>
        <w:rPr>
          <w:rFonts w:ascii="Open Sans" w:hAnsi="Open Sans" w:cs="Open Sans"/>
          <w:sz w:val="20"/>
          <w:szCs w:val="20"/>
        </w:rPr>
      </w:pPr>
      <w:r w:rsidRPr="005C61B2">
        <w:rPr>
          <w:rFonts w:ascii="Open Sans" w:hAnsi="Open Sans" w:cs="Open Sans"/>
          <w:sz w:val="20"/>
          <w:szCs w:val="20"/>
        </w:rPr>
        <w:t xml:space="preserve">Hence, </w:t>
      </w:r>
      <w:r w:rsidR="00D34645">
        <w:rPr>
          <w:rFonts w:ascii="Open Sans" w:hAnsi="Open Sans" w:cs="Open Sans"/>
          <w:sz w:val="20"/>
          <w:szCs w:val="20"/>
        </w:rPr>
        <w:t xml:space="preserve">a </w:t>
      </w:r>
      <w:r w:rsidR="00C06FCD">
        <w:rPr>
          <w:rFonts w:ascii="Open Sans" w:hAnsi="Open Sans" w:cs="Open Sans"/>
          <w:sz w:val="20"/>
          <w:szCs w:val="20"/>
        </w:rPr>
        <w:t xml:space="preserve">comprehensive adjustment </w:t>
      </w:r>
      <w:r w:rsidR="00C34569">
        <w:rPr>
          <w:rFonts w:ascii="Open Sans" w:hAnsi="Open Sans" w:cs="Open Sans"/>
          <w:sz w:val="20"/>
          <w:szCs w:val="20"/>
        </w:rPr>
        <w:t>to all countries around the world for und</w:t>
      </w:r>
      <w:r w:rsidR="00192EF0">
        <w:rPr>
          <w:rFonts w:ascii="Open Sans" w:hAnsi="Open Sans" w:cs="Open Sans"/>
          <w:sz w:val="20"/>
          <w:szCs w:val="20"/>
        </w:rPr>
        <w:t xml:space="preserve">erreporting </w:t>
      </w:r>
      <w:r w:rsidR="007F58AB">
        <w:rPr>
          <w:rFonts w:ascii="Open Sans" w:hAnsi="Open Sans" w:cs="Open Sans"/>
          <w:sz w:val="20"/>
          <w:szCs w:val="20"/>
        </w:rPr>
        <w:t xml:space="preserve">at the top is still not feasible. </w:t>
      </w:r>
      <w:r w:rsidR="00EC587E">
        <w:rPr>
          <w:rFonts w:ascii="Open Sans" w:hAnsi="Open Sans" w:cs="Open Sans"/>
          <w:sz w:val="20"/>
          <w:szCs w:val="20"/>
        </w:rPr>
        <w:t>The World Inequality Database</w:t>
      </w:r>
      <w:r w:rsidR="00BC5966">
        <w:rPr>
          <w:rFonts w:ascii="Open Sans" w:hAnsi="Open Sans" w:cs="Open Sans"/>
          <w:sz w:val="20"/>
          <w:szCs w:val="20"/>
        </w:rPr>
        <w:t xml:space="preserve"> (WID)</w:t>
      </w:r>
      <w:r w:rsidR="00EC587E">
        <w:rPr>
          <w:rFonts w:ascii="Open Sans" w:hAnsi="Open Sans" w:cs="Open Sans"/>
          <w:sz w:val="20"/>
          <w:szCs w:val="20"/>
        </w:rPr>
        <w:t xml:space="preserve"> systematically adjusts survey data for missing top incomes</w:t>
      </w:r>
      <w:r w:rsidR="00115094">
        <w:rPr>
          <w:rFonts w:ascii="Open Sans" w:hAnsi="Open Sans" w:cs="Open Sans"/>
          <w:sz w:val="20"/>
          <w:szCs w:val="20"/>
        </w:rPr>
        <w:t xml:space="preserve">, using a range of sources including </w:t>
      </w:r>
      <w:r w:rsidR="00674FCD">
        <w:rPr>
          <w:rFonts w:ascii="Open Sans" w:hAnsi="Open Sans" w:cs="Open Sans"/>
          <w:sz w:val="20"/>
          <w:szCs w:val="20"/>
        </w:rPr>
        <w:t xml:space="preserve">tax data where available but also </w:t>
      </w:r>
      <w:r w:rsidR="00115094">
        <w:rPr>
          <w:rFonts w:ascii="Open Sans" w:hAnsi="Open Sans" w:cs="Open Sans"/>
          <w:sz w:val="20"/>
          <w:szCs w:val="20"/>
        </w:rPr>
        <w:t>national accounts</w:t>
      </w:r>
      <w:r w:rsidR="000456FF">
        <w:rPr>
          <w:rFonts w:ascii="Open Sans" w:hAnsi="Open Sans" w:cs="Open Sans"/>
          <w:sz w:val="20"/>
          <w:szCs w:val="20"/>
        </w:rPr>
        <w:t xml:space="preserve"> </w:t>
      </w:r>
      <w:r w:rsidR="000456FF">
        <w:rPr>
          <w:rFonts w:ascii="Open Sans" w:hAnsi="Open Sans" w:cs="Open Sans"/>
          <w:sz w:val="20"/>
          <w:szCs w:val="20"/>
        </w:rPr>
        <w:fldChar w:fldCharType="begin"/>
      </w:r>
      <w:r w:rsidR="00E405A0">
        <w:rPr>
          <w:rFonts w:ascii="Open Sans" w:hAnsi="Open Sans" w:cs="Open Sans"/>
          <w:sz w:val="20"/>
          <w:szCs w:val="20"/>
        </w:rPr>
        <w:instrText xml:space="preserve"> ADDIN ZOTERO_ITEM CSL_CITATION {"citationID":"MW8ffiSg","properties":{"formattedCitation":"(Blanchet and Chancel, 2016; World Inequality Lab, 2024)","plainCitation":"(Blanchet and Chancel, 2016; World Inequality Lab, 2024)","noteIndex":0},"citationItems":[{"id":1820,"uris":["http://zotero.org/groups/5125234/items/SIBTDLRU"],"itemData":{"id":1820,"type":"article-journal","container-title":"WID","title":"National Accounts Series Methodology","URL":"wid","author":[{"family":"Blanchet","given":"Thomas"},{"family":"Chancel","given":"Lucas"}],"issued":{"date-parts":[["2016"]]}}},{"id":1821,"uris":["http://zotero.org/groups/5125234/items/H7S7IUYN"],"itemData":{"id":1821,"type":"report","title":"Distributional National Accounts Guidelines: Methods and Concepts Used in the World Inequality Database","URL":"https://wid.world/document/distributional-national-accounts-guidelines-2020-concepts-and-methods-used-in-the-world-inequality-database/","author":[{"family":"World Inequality Lab","given":""}],"issued":{"date-parts":[["2024"]]}}}],"schema":"https://github.com/citation-style-language/schema/raw/master/csl-citation.json"} </w:instrText>
      </w:r>
      <w:r w:rsidR="000456FF">
        <w:rPr>
          <w:rFonts w:ascii="Open Sans" w:hAnsi="Open Sans" w:cs="Open Sans"/>
          <w:sz w:val="20"/>
          <w:szCs w:val="20"/>
        </w:rPr>
        <w:fldChar w:fldCharType="separate"/>
      </w:r>
      <w:r w:rsidR="00E405A0" w:rsidRPr="00E405A0">
        <w:rPr>
          <w:rFonts w:ascii="Open Sans" w:hAnsi="Open Sans" w:cs="Open Sans"/>
          <w:sz w:val="20"/>
        </w:rPr>
        <w:t>(Blanchet and Chancel, 2016; World Inequality Lab, 2024)</w:t>
      </w:r>
      <w:r w:rsidR="000456FF">
        <w:rPr>
          <w:rFonts w:ascii="Open Sans" w:hAnsi="Open Sans" w:cs="Open Sans"/>
          <w:sz w:val="20"/>
          <w:szCs w:val="20"/>
        </w:rPr>
        <w:fldChar w:fldCharType="end"/>
      </w:r>
      <w:r w:rsidR="00EC587E">
        <w:rPr>
          <w:rFonts w:ascii="Open Sans" w:hAnsi="Open Sans" w:cs="Open Sans"/>
          <w:sz w:val="20"/>
          <w:szCs w:val="20"/>
        </w:rPr>
        <w:t xml:space="preserve">. </w:t>
      </w:r>
      <w:r w:rsidR="00A64097">
        <w:rPr>
          <w:rFonts w:ascii="Open Sans" w:hAnsi="Open Sans" w:cs="Open Sans"/>
          <w:sz w:val="20"/>
          <w:szCs w:val="20"/>
        </w:rPr>
        <w:t xml:space="preserve">As expected, </w:t>
      </w:r>
      <w:r w:rsidR="00DC177D">
        <w:rPr>
          <w:rFonts w:ascii="Open Sans" w:hAnsi="Open Sans" w:cs="Open Sans"/>
          <w:sz w:val="20"/>
          <w:szCs w:val="20"/>
        </w:rPr>
        <w:t>the adjusted Gini index</w:t>
      </w:r>
      <w:r w:rsidR="000963F6">
        <w:rPr>
          <w:rFonts w:ascii="Open Sans" w:hAnsi="Open Sans" w:cs="Open Sans"/>
          <w:sz w:val="20"/>
          <w:szCs w:val="20"/>
        </w:rPr>
        <w:t xml:space="preserve"> (taken from W</w:t>
      </w:r>
      <w:r w:rsidR="00F80594">
        <w:rPr>
          <w:rFonts w:ascii="Open Sans" w:hAnsi="Open Sans" w:cs="Open Sans"/>
          <w:sz w:val="20"/>
          <w:szCs w:val="20"/>
        </w:rPr>
        <w:t>I</w:t>
      </w:r>
      <w:r w:rsidR="000963F6">
        <w:rPr>
          <w:rFonts w:ascii="Open Sans" w:hAnsi="Open Sans" w:cs="Open Sans"/>
          <w:sz w:val="20"/>
          <w:szCs w:val="20"/>
        </w:rPr>
        <w:t>D</w:t>
      </w:r>
      <w:r w:rsidR="00DC177D">
        <w:rPr>
          <w:rFonts w:ascii="Open Sans" w:hAnsi="Open Sans" w:cs="Open Sans"/>
          <w:sz w:val="20"/>
          <w:szCs w:val="20"/>
        </w:rPr>
        <w:t xml:space="preserve"> </w:t>
      </w:r>
      <w:r w:rsidR="00A27B28">
        <w:rPr>
          <w:rFonts w:ascii="Open Sans" w:hAnsi="Open Sans" w:cs="Open Sans"/>
          <w:sz w:val="20"/>
          <w:szCs w:val="20"/>
        </w:rPr>
        <w:t xml:space="preserve">is greater than the </w:t>
      </w:r>
      <w:r w:rsidR="00D30C71">
        <w:rPr>
          <w:rFonts w:ascii="Open Sans" w:hAnsi="Open Sans" w:cs="Open Sans"/>
          <w:sz w:val="20"/>
          <w:szCs w:val="20"/>
        </w:rPr>
        <w:t>survey-based Gini</w:t>
      </w:r>
      <w:r w:rsidR="000963F6">
        <w:rPr>
          <w:rFonts w:ascii="Open Sans" w:hAnsi="Open Sans" w:cs="Open Sans"/>
          <w:sz w:val="20"/>
          <w:szCs w:val="20"/>
        </w:rPr>
        <w:t xml:space="preserve"> (using the World Bank data)</w:t>
      </w:r>
      <w:r w:rsidR="00D30C71">
        <w:rPr>
          <w:rFonts w:ascii="Open Sans" w:hAnsi="Open Sans" w:cs="Open Sans"/>
          <w:sz w:val="20"/>
          <w:szCs w:val="20"/>
        </w:rPr>
        <w:t xml:space="preserve">, as indicated by the upward sloping lines in Figure </w:t>
      </w:r>
      <w:r w:rsidR="003A1A74">
        <w:rPr>
          <w:rFonts w:ascii="Open Sans" w:hAnsi="Open Sans" w:cs="Open Sans"/>
          <w:sz w:val="20"/>
          <w:szCs w:val="20"/>
        </w:rPr>
        <w:t>2</w:t>
      </w:r>
      <w:r w:rsidR="00EC587E" w:rsidRPr="005C61B2">
        <w:rPr>
          <w:rFonts w:ascii="Open Sans" w:hAnsi="Open Sans" w:cs="Open Sans"/>
          <w:sz w:val="20"/>
          <w:szCs w:val="20"/>
        </w:rPr>
        <w:t>a</w:t>
      </w:r>
      <w:r w:rsidR="000963F6">
        <w:rPr>
          <w:rFonts w:ascii="Open Sans" w:hAnsi="Open Sans" w:cs="Open Sans"/>
          <w:sz w:val="20"/>
          <w:szCs w:val="20"/>
        </w:rPr>
        <w:t xml:space="preserve">. </w:t>
      </w:r>
      <w:r w:rsidR="005C24C9">
        <w:rPr>
          <w:rFonts w:ascii="Open Sans" w:hAnsi="Open Sans" w:cs="Open Sans"/>
          <w:sz w:val="20"/>
          <w:szCs w:val="20"/>
        </w:rPr>
        <w:t xml:space="preserve">This shows that </w:t>
      </w:r>
      <w:r w:rsidR="00824151">
        <w:rPr>
          <w:rFonts w:ascii="Open Sans" w:hAnsi="Open Sans" w:cs="Open Sans"/>
          <w:sz w:val="20"/>
          <w:szCs w:val="20"/>
        </w:rPr>
        <w:t>an</w:t>
      </w:r>
      <w:r w:rsidR="005C24C9">
        <w:rPr>
          <w:rFonts w:ascii="Open Sans" w:hAnsi="Open Sans" w:cs="Open Sans"/>
          <w:sz w:val="20"/>
          <w:szCs w:val="20"/>
        </w:rPr>
        <w:t xml:space="preserve"> </w:t>
      </w:r>
      <w:r w:rsidR="00BD08FE">
        <w:rPr>
          <w:rFonts w:ascii="Open Sans" w:hAnsi="Open Sans" w:cs="Open Sans"/>
          <w:sz w:val="20"/>
          <w:szCs w:val="20"/>
        </w:rPr>
        <w:t>adjustment</w:t>
      </w:r>
      <w:r w:rsidR="005C24C9">
        <w:rPr>
          <w:rFonts w:ascii="Open Sans" w:hAnsi="Open Sans" w:cs="Open Sans"/>
          <w:sz w:val="20"/>
          <w:szCs w:val="20"/>
        </w:rPr>
        <w:t xml:space="preserve"> for underreporting at the top would have direct implications for </w:t>
      </w:r>
      <w:r w:rsidR="00351896">
        <w:rPr>
          <w:rFonts w:ascii="Open Sans" w:hAnsi="Open Sans" w:cs="Open Sans"/>
          <w:sz w:val="20"/>
          <w:szCs w:val="20"/>
        </w:rPr>
        <w:t>measuring the number of countries wi</w:t>
      </w:r>
      <w:r w:rsidR="002C0F48">
        <w:rPr>
          <w:rFonts w:ascii="Open Sans" w:hAnsi="Open Sans" w:cs="Open Sans"/>
          <w:sz w:val="20"/>
          <w:szCs w:val="20"/>
        </w:rPr>
        <w:t xml:space="preserve">th high inequality. However, it is important to bear in mind that the threshold value for high inequality would also have to be adjusted if adjusted Gini indices are used. </w:t>
      </w:r>
      <w:r w:rsidR="00FF6B70">
        <w:rPr>
          <w:rFonts w:ascii="Open Sans" w:hAnsi="Open Sans" w:cs="Open Sans"/>
          <w:sz w:val="20"/>
          <w:szCs w:val="20"/>
        </w:rPr>
        <w:t>The threshold of 40 was set at approximately the top 3</w:t>
      </w:r>
      <w:r w:rsidR="00FF6B70" w:rsidRPr="00077757">
        <w:rPr>
          <w:rFonts w:ascii="Open Sans" w:hAnsi="Open Sans" w:cs="Open Sans"/>
          <w:sz w:val="20"/>
          <w:szCs w:val="20"/>
          <w:vertAlign w:val="superscript"/>
        </w:rPr>
        <w:t>rd</w:t>
      </w:r>
      <w:r w:rsidR="00FF6B70">
        <w:rPr>
          <w:rFonts w:ascii="Open Sans" w:hAnsi="Open Sans" w:cs="Open Sans"/>
          <w:sz w:val="20"/>
          <w:szCs w:val="20"/>
        </w:rPr>
        <w:t xml:space="preserve"> of countries, using survey-based Gini indices. </w:t>
      </w:r>
    </w:p>
    <w:p w14:paraId="5EA8F835" w14:textId="64F437EB" w:rsidR="00113794" w:rsidRPr="005C61B2" w:rsidRDefault="00BD667B" w:rsidP="00077757">
      <w:pPr>
        <w:spacing w:line="240" w:lineRule="auto"/>
        <w:jc w:val="both"/>
        <w:rPr>
          <w:rFonts w:ascii="Open Sans" w:hAnsi="Open Sans" w:cs="Open Sans"/>
          <w:sz w:val="20"/>
          <w:szCs w:val="20"/>
        </w:rPr>
      </w:pPr>
      <w:r>
        <w:rPr>
          <w:rFonts w:ascii="Open Sans" w:hAnsi="Open Sans" w:cs="Open Sans"/>
          <w:sz w:val="20"/>
          <w:szCs w:val="20"/>
        </w:rPr>
        <w:t xml:space="preserve">Figure </w:t>
      </w:r>
      <w:r w:rsidR="00482DD5">
        <w:rPr>
          <w:rFonts w:ascii="Open Sans" w:hAnsi="Open Sans" w:cs="Open Sans"/>
          <w:sz w:val="20"/>
          <w:szCs w:val="20"/>
        </w:rPr>
        <w:t>2</w:t>
      </w:r>
      <w:r>
        <w:rPr>
          <w:rFonts w:ascii="Open Sans" w:hAnsi="Open Sans" w:cs="Open Sans"/>
          <w:sz w:val="20"/>
          <w:szCs w:val="20"/>
        </w:rPr>
        <w:t xml:space="preserve">a also shows that </w:t>
      </w:r>
      <w:r w:rsidR="008C48A9">
        <w:rPr>
          <w:rFonts w:ascii="Open Sans" w:hAnsi="Open Sans" w:cs="Open Sans"/>
          <w:sz w:val="20"/>
          <w:szCs w:val="20"/>
        </w:rPr>
        <w:t xml:space="preserve">some countries </w:t>
      </w:r>
      <w:r>
        <w:rPr>
          <w:rFonts w:ascii="Open Sans" w:hAnsi="Open Sans" w:cs="Open Sans"/>
          <w:sz w:val="20"/>
          <w:szCs w:val="20"/>
        </w:rPr>
        <w:t>show lower levels of inequality with the WID adjustment</w:t>
      </w:r>
      <w:r w:rsidR="008C48A9">
        <w:rPr>
          <w:rFonts w:ascii="Open Sans" w:hAnsi="Open Sans" w:cs="Open Sans"/>
          <w:sz w:val="20"/>
          <w:szCs w:val="20"/>
        </w:rPr>
        <w:t xml:space="preserve">, which requires further investigation. </w:t>
      </w:r>
      <w:r w:rsidR="00744A70">
        <w:rPr>
          <w:rFonts w:ascii="Open Sans" w:hAnsi="Open Sans" w:cs="Open Sans"/>
          <w:sz w:val="20"/>
          <w:szCs w:val="20"/>
        </w:rPr>
        <w:t xml:space="preserve">The WID acknowledges that the data are not of the same quality in all </w:t>
      </w:r>
      <w:commentRangeStart w:id="17"/>
      <w:r w:rsidR="00744A70">
        <w:rPr>
          <w:rFonts w:ascii="Open Sans" w:hAnsi="Open Sans" w:cs="Open Sans"/>
          <w:sz w:val="20"/>
          <w:szCs w:val="20"/>
        </w:rPr>
        <w:t>countries</w:t>
      </w:r>
      <w:commentRangeEnd w:id="17"/>
      <w:r w:rsidR="00E27591">
        <w:rPr>
          <w:rFonts w:ascii="Open Sans" w:hAnsi="Open Sans" w:cs="Open Sans"/>
          <w:sz w:val="20"/>
          <w:szCs w:val="20"/>
        </w:rPr>
        <w:t xml:space="preserve"> </w:t>
      </w:r>
      <w:r w:rsidR="0052062E" w:rsidRPr="00077757">
        <w:rPr>
          <w:rStyle w:val="CommentReference"/>
          <w:rFonts w:ascii="Open Sans" w:hAnsi="Open Sans" w:cs="Open Sans"/>
          <w:kern w:val="0"/>
          <w14:ligatures w14:val="none"/>
        </w:rPr>
        <w:commentReference w:id="17"/>
      </w:r>
      <w:r w:rsidR="00E405A0">
        <w:rPr>
          <w:rFonts w:ascii="Open Sans" w:hAnsi="Open Sans" w:cs="Open Sans"/>
          <w:sz w:val="20"/>
          <w:szCs w:val="20"/>
        </w:rPr>
        <w:fldChar w:fldCharType="begin"/>
      </w:r>
      <w:r w:rsidR="00E405A0">
        <w:rPr>
          <w:rFonts w:ascii="Open Sans" w:hAnsi="Open Sans" w:cs="Open Sans"/>
          <w:sz w:val="20"/>
          <w:szCs w:val="20"/>
        </w:rPr>
        <w:instrText xml:space="preserve"> ADDIN ZOTERO_ITEM CSL_CITATION {"citationID":"DaT0E1co","properties":{"formattedCitation":"(World Inequality Lab, 2024)","plainCitation":"(World Inequality Lab, 2024)","noteIndex":0},"citationItems":[{"id":1821,"uris":["http://zotero.org/groups/5125234/items/H7S7IUYN"],"itemData":{"id":1821,"type":"report","title":"Distributional National Accounts Guidelines: Methods and Concepts Used in the World Inequality Database","URL":"https://wid.world/document/distributional-national-accounts-guidelines-2020-concepts-and-methods-used-in-the-world-inequality-database/","author":[{"family":"World Inequality Lab","given":""}],"issued":{"date-parts":[["2024"]]}}}],"schema":"https://github.com/citation-style-language/schema/raw/master/csl-citation.json"} </w:instrText>
      </w:r>
      <w:r w:rsidR="00E405A0">
        <w:rPr>
          <w:rFonts w:ascii="Open Sans" w:hAnsi="Open Sans" w:cs="Open Sans"/>
          <w:sz w:val="20"/>
          <w:szCs w:val="20"/>
        </w:rPr>
        <w:fldChar w:fldCharType="separate"/>
      </w:r>
      <w:r w:rsidR="00E405A0" w:rsidRPr="00E405A0">
        <w:rPr>
          <w:rFonts w:ascii="Open Sans" w:hAnsi="Open Sans" w:cs="Open Sans"/>
          <w:sz w:val="20"/>
        </w:rPr>
        <w:t>(World Inequality Lab, 2024)</w:t>
      </w:r>
      <w:r w:rsidR="00E405A0">
        <w:rPr>
          <w:rFonts w:ascii="Open Sans" w:hAnsi="Open Sans" w:cs="Open Sans"/>
          <w:sz w:val="20"/>
          <w:szCs w:val="20"/>
        </w:rPr>
        <w:fldChar w:fldCharType="end"/>
      </w:r>
      <w:r w:rsidR="00744A70">
        <w:rPr>
          <w:rFonts w:ascii="Open Sans" w:hAnsi="Open Sans" w:cs="Open Sans"/>
          <w:sz w:val="20"/>
          <w:szCs w:val="20"/>
        </w:rPr>
        <w:t>.</w:t>
      </w:r>
      <w:r w:rsidR="00113794" w:rsidRPr="005C61B2" w:rsidDel="007F58AB">
        <w:rPr>
          <w:rFonts w:ascii="Open Sans" w:hAnsi="Open Sans" w:cs="Open Sans"/>
          <w:sz w:val="20"/>
          <w:szCs w:val="20"/>
        </w:rPr>
        <w:t xml:space="preserve"> </w:t>
      </w:r>
      <w:r w:rsidR="00113794" w:rsidRPr="005C61B2">
        <w:rPr>
          <w:rFonts w:ascii="Open Sans" w:hAnsi="Open Sans" w:cs="Open Sans"/>
          <w:sz w:val="20"/>
          <w:szCs w:val="20"/>
        </w:rPr>
        <w:t xml:space="preserve">Even in well-established cases, </w:t>
      </w:r>
      <w:r w:rsidR="004837E0">
        <w:rPr>
          <w:rFonts w:ascii="Open Sans" w:hAnsi="Open Sans" w:cs="Open Sans"/>
          <w:sz w:val="20"/>
          <w:szCs w:val="20"/>
        </w:rPr>
        <w:t xml:space="preserve">debates </w:t>
      </w:r>
      <w:proofErr w:type="gramStart"/>
      <w:r w:rsidR="004837E0">
        <w:rPr>
          <w:rFonts w:ascii="Open Sans" w:hAnsi="Open Sans" w:cs="Open Sans"/>
          <w:sz w:val="20"/>
          <w:szCs w:val="20"/>
        </w:rPr>
        <w:t>continue on</w:t>
      </w:r>
      <w:proofErr w:type="gramEnd"/>
      <w:r w:rsidR="00113794" w:rsidRPr="005C61B2">
        <w:rPr>
          <w:rFonts w:ascii="Open Sans" w:hAnsi="Open Sans" w:cs="Open Sans"/>
          <w:sz w:val="20"/>
          <w:szCs w:val="20"/>
        </w:rPr>
        <w:t xml:space="preserve"> what has driven changes across time – is it the changes in incomes at the top or the changes in income reporting in the tax data (for the debate in the US case, see Brookings </w:t>
      </w:r>
      <w:commentRangeStart w:id="18"/>
      <w:r w:rsidR="00113794" w:rsidRPr="005C61B2">
        <w:rPr>
          <w:rFonts w:ascii="Open Sans" w:hAnsi="Open Sans" w:cs="Open Sans"/>
          <w:sz w:val="20"/>
          <w:szCs w:val="20"/>
        </w:rPr>
        <w:t>2024</w:t>
      </w:r>
      <w:commentRangeEnd w:id="18"/>
      <w:r w:rsidR="00810C48" w:rsidRPr="00077757">
        <w:rPr>
          <w:rStyle w:val="CommentReference"/>
          <w:rFonts w:ascii="Open Sans" w:hAnsi="Open Sans" w:cs="Open Sans"/>
          <w:kern w:val="0"/>
          <w14:ligatures w14:val="none"/>
        </w:rPr>
        <w:commentReference w:id="18"/>
      </w:r>
      <w:r w:rsidR="00113794" w:rsidRPr="005C61B2">
        <w:rPr>
          <w:rFonts w:ascii="Open Sans" w:hAnsi="Open Sans" w:cs="Open Sans"/>
          <w:sz w:val="20"/>
          <w:szCs w:val="20"/>
        </w:rPr>
        <w:t>).</w:t>
      </w:r>
      <w:r w:rsidR="00810C48">
        <w:rPr>
          <w:rFonts w:ascii="Open Sans" w:hAnsi="Open Sans" w:cs="Open Sans"/>
          <w:sz w:val="20"/>
          <w:szCs w:val="20"/>
        </w:rPr>
        <w:t xml:space="preserve"> </w:t>
      </w:r>
    </w:p>
    <w:p w14:paraId="4B2B6C50" w14:textId="6BBAF4A8" w:rsidR="004A05B7" w:rsidRPr="005C61B2" w:rsidRDefault="004A05B7" w:rsidP="00077757">
      <w:pPr>
        <w:spacing w:line="240" w:lineRule="auto"/>
        <w:jc w:val="both"/>
        <w:rPr>
          <w:rFonts w:ascii="Open Sans" w:hAnsi="Open Sans" w:cs="Open Sans"/>
          <w:b/>
          <w:bCs/>
          <w:sz w:val="20"/>
          <w:szCs w:val="20"/>
        </w:rPr>
      </w:pPr>
      <w:commentRangeStart w:id="19"/>
      <w:r w:rsidRPr="005C61B2">
        <w:rPr>
          <w:rFonts w:ascii="Open Sans" w:hAnsi="Open Sans" w:cs="Open Sans"/>
          <w:b/>
          <w:bCs/>
          <w:sz w:val="20"/>
          <w:szCs w:val="20"/>
        </w:rPr>
        <w:t xml:space="preserve">Figure </w:t>
      </w:r>
      <w:commentRangeEnd w:id="19"/>
      <w:r w:rsidRPr="005C61B2">
        <w:rPr>
          <w:rStyle w:val="CommentReference"/>
          <w:rFonts w:ascii="Open Sans" w:hAnsi="Open Sans" w:cs="Open Sans"/>
          <w:sz w:val="20"/>
          <w:szCs w:val="20"/>
        </w:rPr>
        <w:commentReference w:id="19"/>
      </w:r>
      <w:r w:rsidR="00482DD5">
        <w:rPr>
          <w:rFonts w:ascii="Open Sans" w:hAnsi="Open Sans" w:cs="Open Sans"/>
          <w:b/>
          <w:bCs/>
          <w:sz w:val="20"/>
          <w:szCs w:val="20"/>
        </w:rPr>
        <w:t>2</w:t>
      </w:r>
      <w:r w:rsidRPr="005C61B2">
        <w:rPr>
          <w:rFonts w:ascii="Open Sans" w:hAnsi="Open Sans" w:cs="Open Sans"/>
          <w:b/>
          <w:bCs/>
          <w:sz w:val="20"/>
          <w:szCs w:val="20"/>
        </w:rPr>
        <w:t xml:space="preserve">: Differences in levels of Gini largely driven by the underestimation of top incomes in survey </w:t>
      </w:r>
      <w:proofErr w:type="gramStart"/>
      <w:r w:rsidRPr="005C61B2">
        <w:rPr>
          <w:rFonts w:ascii="Open Sans" w:hAnsi="Open Sans" w:cs="Open Sans"/>
          <w:b/>
          <w:bCs/>
          <w:sz w:val="20"/>
          <w:szCs w:val="20"/>
        </w:rPr>
        <w:t>data</w:t>
      </w:r>
      <w:proofErr w:type="gramEnd"/>
    </w:p>
    <w:tbl>
      <w:tblPr>
        <w:tblStyle w:val="TableGrid"/>
        <w:tblW w:w="0" w:type="auto"/>
        <w:tblLook w:val="04A0" w:firstRow="1" w:lastRow="0" w:firstColumn="1" w:lastColumn="0" w:noHBand="0" w:noVBand="1"/>
      </w:tblPr>
      <w:tblGrid>
        <w:gridCol w:w="4675"/>
        <w:gridCol w:w="4675"/>
      </w:tblGrid>
      <w:tr w:rsidR="004A05B7" w:rsidRPr="005C61B2" w14:paraId="30C2271E" w14:textId="77777777">
        <w:tc>
          <w:tcPr>
            <w:tcW w:w="4675" w:type="dxa"/>
          </w:tcPr>
          <w:p w14:paraId="5BE70D81" w14:textId="77777777" w:rsidR="004A05B7" w:rsidRPr="005C61B2" w:rsidRDefault="004A05B7" w:rsidP="001F1110">
            <w:pPr>
              <w:pStyle w:val="ListParagraph"/>
              <w:numPr>
                <w:ilvl w:val="0"/>
                <w:numId w:val="12"/>
              </w:numPr>
              <w:jc w:val="both"/>
              <w:rPr>
                <w:rFonts w:ascii="Open Sans" w:hAnsi="Open Sans" w:cs="Open Sans"/>
                <w:sz w:val="20"/>
                <w:szCs w:val="20"/>
              </w:rPr>
            </w:pPr>
            <w:r w:rsidRPr="005C61B2">
              <w:rPr>
                <w:rFonts w:ascii="Open Sans" w:hAnsi="Open Sans" w:cs="Open Sans"/>
                <w:sz w:val="20"/>
                <w:szCs w:val="20"/>
              </w:rPr>
              <w:t>Comparison of Gini</w:t>
            </w:r>
          </w:p>
        </w:tc>
        <w:tc>
          <w:tcPr>
            <w:tcW w:w="4675" w:type="dxa"/>
          </w:tcPr>
          <w:p w14:paraId="49FE02E7" w14:textId="77777777" w:rsidR="004A05B7" w:rsidRPr="005C61B2" w:rsidRDefault="004A05B7" w:rsidP="001F1110">
            <w:pPr>
              <w:pStyle w:val="ListParagraph"/>
              <w:numPr>
                <w:ilvl w:val="0"/>
                <w:numId w:val="12"/>
              </w:numPr>
              <w:jc w:val="both"/>
              <w:rPr>
                <w:rFonts w:ascii="Open Sans" w:hAnsi="Open Sans" w:cs="Open Sans"/>
                <w:sz w:val="20"/>
                <w:szCs w:val="20"/>
              </w:rPr>
            </w:pPr>
            <w:r w:rsidRPr="005C61B2">
              <w:rPr>
                <w:rFonts w:ascii="Open Sans" w:hAnsi="Open Sans" w:cs="Open Sans"/>
                <w:sz w:val="20"/>
                <w:szCs w:val="20"/>
              </w:rPr>
              <w:t>Comparison of top income shares</w:t>
            </w:r>
          </w:p>
        </w:tc>
      </w:tr>
      <w:tr w:rsidR="004A05B7" w:rsidRPr="005C61B2" w14:paraId="47694799" w14:textId="77777777">
        <w:tc>
          <w:tcPr>
            <w:tcW w:w="4675" w:type="dxa"/>
          </w:tcPr>
          <w:p w14:paraId="23638384" w14:textId="77777777" w:rsidR="004A05B7" w:rsidRPr="005C61B2" w:rsidRDefault="004A05B7" w:rsidP="001F1110">
            <w:pPr>
              <w:jc w:val="both"/>
              <w:rPr>
                <w:rFonts w:ascii="Open Sans" w:hAnsi="Open Sans" w:cs="Open Sans"/>
                <w:sz w:val="20"/>
                <w:szCs w:val="20"/>
              </w:rPr>
            </w:pPr>
            <w:r w:rsidRPr="005C61B2">
              <w:rPr>
                <w:rFonts w:ascii="Open Sans" w:hAnsi="Open Sans" w:cs="Open Sans"/>
                <w:noProof/>
                <w:sz w:val="20"/>
                <w:szCs w:val="20"/>
              </w:rPr>
              <w:drawing>
                <wp:inline distT="0" distB="0" distL="0" distR="0" wp14:anchorId="183960B8" wp14:editId="20D77FC8">
                  <wp:extent cx="2686050" cy="1861820"/>
                  <wp:effectExtent l="0" t="0" r="0" b="5080"/>
                  <wp:docPr id="3" name="Picture 3"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lines and dot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7094" cy="1869475"/>
                          </a:xfrm>
                          <a:prstGeom prst="rect">
                            <a:avLst/>
                          </a:prstGeom>
                          <a:noFill/>
                          <a:ln>
                            <a:noFill/>
                          </a:ln>
                        </pic:spPr>
                      </pic:pic>
                    </a:graphicData>
                  </a:graphic>
                </wp:inline>
              </w:drawing>
            </w:r>
          </w:p>
        </w:tc>
        <w:tc>
          <w:tcPr>
            <w:tcW w:w="4675" w:type="dxa"/>
          </w:tcPr>
          <w:p w14:paraId="3BB91BB8" w14:textId="77777777" w:rsidR="004A05B7" w:rsidRPr="005C61B2" w:rsidRDefault="004A05B7" w:rsidP="001F1110">
            <w:pPr>
              <w:jc w:val="both"/>
              <w:rPr>
                <w:rFonts w:ascii="Open Sans" w:hAnsi="Open Sans" w:cs="Open Sans"/>
                <w:sz w:val="20"/>
                <w:szCs w:val="20"/>
              </w:rPr>
            </w:pPr>
            <w:r w:rsidRPr="005C61B2">
              <w:rPr>
                <w:rFonts w:ascii="Open Sans" w:hAnsi="Open Sans" w:cs="Open Sans"/>
                <w:noProof/>
                <w:sz w:val="20"/>
                <w:szCs w:val="20"/>
              </w:rPr>
              <w:drawing>
                <wp:inline distT="0" distB="0" distL="0" distR="0" wp14:anchorId="74AEC216" wp14:editId="71EE0AAA">
                  <wp:extent cx="2262217" cy="161448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72980" cy="1622170"/>
                          </a:xfrm>
                          <a:prstGeom prst="rect">
                            <a:avLst/>
                          </a:prstGeom>
                        </pic:spPr>
                      </pic:pic>
                    </a:graphicData>
                  </a:graphic>
                </wp:inline>
              </w:drawing>
            </w:r>
          </w:p>
        </w:tc>
      </w:tr>
    </w:tbl>
    <w:p w14:paraId="2CEC85AF" w14:textId="77777777" w:rsidR="004A05B7" w:rsidRPr="005C61B2" w:rsidRDefault="004A05B7" w:rsidP="00077757">
      <w:pPr>
        <w:spacing w:line="240" w:lineRule="auto"/>
        <w:jc w:val="both"/>
        <w:rPr>
          <w:rFonts w:ascii="Open Sans" w:hAnsi="Open Sans" w:cs="Open Sans"/>
          <w:b/>
          <w:bCs/>
          <w:sz w:val="20"/>
          <w:szCs w:val="20"/>
        </w:rPr>
      </w:pPr>
    </w:p>
    <w:p w14:paraId="08D160E5" w14:textId="77777777" w:rsidR="004A05B7" w:rsidRPr="00236040" w:rsidRDefault="004A05B7" w:rsidP="00077757">
      <w:pPr>
        <w:spacing w:line="240" w:lineRule="auto"/>
        <w:jc w:val="both"/>
        <w:rPr>
          <w:rFonts w:ascii="Open Sans" w:hAnsi="Open Sans" w:cs="Open Sans"/>
          <w:sz w:val="16"/>
          <w:szCs w:val="16"/>
        </w:rPr>
      </w:pPr>
      <w:r w:rsidRPr="00236040">
        <w:rPr>
          <w:rFonts w:ascii="Open Sans" w:hAnsi="Open Sans" w:cs="Open Sans"/>
          <w:sz w:val="16"/>
          <w:szCs w:val="16"/>
        </w:rPr>
        <w:t>Note: Compares the top income of survey and top income in data adjusted using tax records. See also Atkinson and Piketty (2001) for rich countries.</w:t>
      </w:r>
    </w:p>
    <w:p w14:paraId="1787353E" w14:textId="00410B77" w:rsidR="004A05B7" w:rsidRPr="005C61B2" w:rsidRDefault="004A05B7" w:rsidP="00077757">
      <w:pPr>
        <w:spacing w:line="240" w:lineRule="auto"/>
        <w:jc w:val="both"/>
        <w:rPr>
          <w:rFonts w:ascii="Open Sans" w:hAnsi="Open Sans" w:cs="Open Sans"/>
          <w:sz w:val="20"/>
          <w:szCs w:val="20"/>
        </w:rPr>
      </w:pPr>
      <w:r w:rsidRPr="005C61B2">
        <w:rPr>
          <w:rFonts w:ascii="Open Sans" w:hAnsi="Open Sans" w:cs="Open Sans"/>
          <w:sz w:val="20"/>
          <w:szCs w:val="20"/>
        </w:rPr>
        <w:t xml:space="preserve">Regardless of the level differences, it is reassuring to know that the changes across time for income surveys and income tax data remain </w:t>
      </w:r>
      <w:proofErr w:type="gramStart"/>
      <w:r w:rsidRPr="005C61B2">
        <w:rPr>
          <w:rFonts w:ascii="Open Sans" w:hAnsi="Open Sans" w:cs="Open Sans"/>
          <w:sz w:val="20"/>
          <w:szCs w:val="20"/>
        </w:rPr>
        <w:t>fairly close</w:t>
      </w:r>
      <w:proofErr w:type="gramEnd"/>
      <w:r w:rsidRPr="005C61B2">
        <w:rPr>
          <w:rFonts w:ascii="Open Sans" w:hAnsi="Open Sans" w:cs="Open Sans"/>
          <w:sz w:val="20"/>
          <w:szCs w:val="20"/>
        </w:rPr>
        <w:t xml:space="preserve">. </w:t>
      </w:r>
      <w:r w:rsidR="008E13E3">
        <w:rPr>
          <w:rFonts w:ascii="Open Sans" w:hAnsi="Open Sans" w:cs="Open Sans"/>
          <w:sz w:val="20"/>
          <w:szCs w:val="20"/>
        </w:rPr>
        <w:t xml:space="preserve">Figure </w:t>
      </w:r>
      <w:r w:rsidR="00482DD5">
        <w:rPr>
          <w:rFonts w:ascii="Open Sans" w:hAnsi="Open Sans" w:cs="Open Sans"/>
          <w:sz w:val="20"/>
          <w:szCs w:val="20"/>
        </w:rPr>
        <w:t>2</w:t>
      </w:r>
      <w:r w:rsidR="008E13E3">
        <w:rPr>
          <w:rFonts w:ascii="Open Sans" w:hAnsi="Open Sans" w:cs="Open Sans"/>
          <w:sz w:val="20"/>
          <w:szCs w:val="20"/>
        </w:rPr>
        <w:t>b compares the trend in the top 10</w:t>
      </w:r>
      <w:r w:rsidR="00A520D6">
        <w:rPr>
          <w:rFonts w:ascii="Open Sans" w:hAnsi="Open Sans" w:cs="Open Sans"/>
          <w:sz w:val="20"/>
          <w:szCs w:val="20"/>
        </w:rPr>
        <w:t xml:space="preserve"> percent</w:t>
      </w:r>
      <w:r w:rsidR="008E13E3">
        <w:rPr>
          <w:rFonts w:ascii="Open Sans" w:hAnsi="Open Sans" w:cs="Open Sans"/>
          <w:sz w:val="20"/>
          <w:szCs w:val="20"/>
        </w:rPr>
        <w:t xml:space="preserve"> income</w:t>
      </w:r>
      <w:r w:rsidR="0038498B">
        <w:rPr>
          <w:rFonts w:ascii="Open Sans" w:hAnsi="Open Sans" w:cs="Open Sans"/>
          <w:sz w:val="20"/>
          <w:szCs w:val="20"/>
        </w:rPr>
        <w:t xml:space="preserve"> share from the two sources. The two series </w:t>
      </w:r>
      <w:r w:rsidR="00FB54FC">
        <w:rPr>
          <w:rFonts w:ascii="Open Sans" w:hAnsi="Open Sans" w:cs="Open Sans"/>
          <w:sz w:val="20"/>
          <w:szCs w:val="20"/>
        </w:rPr>
        <w:t xml:space="preserve">track reasonably well. </w:t>
      </w:r>
      <w:commentRangeStart w:id="20"/>
      <w:r w:rsidRPr="005C61B2">
        <w:rPr>
          <w:rFonts w:ascii="Open Sans" w:hAnsi="Open Sans" w:cs="Open Sans"/>
          <w:sz w:val="20"/>
          <w:szCs w:val="20"/>
        </w:rPr>
        <w:t xml:space="preserve">Figure </w:t>
      </w:r>
      <w:r w:rsidR="003C22DC">
        <w:rPr>
          <w:rFonts w:ascii="Open Sans" w:hAnsi="Open Sans" w:cs="Open Sans"/>
          <w:sz w:val="20"/>
          <w:szCs w:val="20"/>
        </w:rPr>
        <w:t>3</w:t>
      </w:r>
      <w:r w:rsidRPr="005C61B2">
        <w:rPr>
          <w:rFonts w:ascii="Open Sans" w:hAnsi="Open Sans" w:cs="Open Sans"/>
          <w:sz w:val="20"/>
          <w:szCs w:val="20"/>
        </w:rPr>
        <w:t xml:space="preserve"> reports the differences in the Gini changes over time for select countries with enough data to conduct the test. </w:t>
      </w:r>
      <w:commentRangeEnd w:id="20"/>
      <w:r w:rsidR="00A65DBC" w:rsidRPr="00077757">
        <w:rPr>
          <w:rStyle w:val="CommentReference"/>
          <w:rFonts w:ascii="Open Sans" w:hAnsi="Open Sans" w:cs="Open Sans"/>
          <w:kern w:val="0"/>
          <w14:ligatures w14:val="none"/>
        </w:rPr>
        <w:commentReference w:id="20"/>
      </w:r>
      <w:r w:rsidRPr="005C61B2">
        <w:rPr>
          <w:rFonts w:ascii="Open Sans" w:hAnsi="Open Sans" w:cs="Open Sans"/>
          <w:sz w:val="20"/>
          <w:szCs w:val="20"/>
        </w:rPr>
        <w:t>Besides Romania, where the trend in the Gini index of the WID is 2 percentage points higher on average than the trend in the same from PIP, the differences in trends in all other countries are not significantly different from zero. In other words, the levels might be different, but the changes are comparable both incorporating top incomes and not.</w:t>
      </w:r>
    </w:p>
    <w:p w14:paraId="39124824" w14:textId="77777777" w:rsidR="004A05B7" w:rsidRPr="005C61B2" w:rsidRDefault="004A05B7" w:rsidP="00077757">
      <w:pPr>
        <w:spacing w:line="240" w:lineRule="auto"/>
        <w:jc w:val="both"/>
        <w:rPr>
          <w:rFonts w:ascii="Open Sans" w:hAnsi="Open Sans" w:cs="Open Sans"/>
          <w:sz w:val="20"/>
          <w:szCs w:val="20"/>
        </w:rPr>
      </w:pPr>
    </w:p>
    <w:p w14:paraId="0D6664E6" w14:textId="745E1544" w:rsidR="004A05B7" w:rsidRPr="005319E6" w:rsidRDefault="004A05B7" w:rsidP="00077757">
      <w:pPr>
        <w:spacing w:line="240" w:lineRule="auto"/>
        <w:jc w:val="both"/>
        <w:rPr>
          <w:rFonts w:ascii="Open Sans" w:hAnsi="Open Sans" w:cs="Open Sans"/>
          <w:b/>
          <w:sz w:val="20"/>
          <w:szCs w:val="20"/>
        </w:rPr>
      </w:pPr>
      <w:r w:rsidRPr="005319E6">
        <w:rPr>
          <w:rFonts w:ascii="Open Sans" w:hAnsi="Open Sans" w:cs="Open Sans"/>
          <w:b/>
          <w:sz w:val="20"/>
          <w:szCs w:val="20"/>
        </w:rPr>
        <w:t xml:space="preserve">Figure </w:t>
      </w:r>
      <w:r w:rsidR="00513EC0" w:rsidRPr="005319E6">
        <w:rPr>
          <w:rFonts w:ascii="Open Sans" w:hAnsi="Open Sans" w:cs="Open Sans"/>
          <w:b/>
          <w:bCs/>
          <w:sz w:val="20"/>
          <w:szCs w:val="20"/>
        </w:rPr>
        <w:t>3</w:t>
      </w:r>
      <w:r w:rsidRPr="005319E6">
        <w:rPr>
          <w:rFonts w:ascii="Open Sans" w:hAnsi="Open Sans" w:cs="Open Sans"/>
          <w:b/>
          <w:sz w:val="20"/>
          <w:szCs w:val="20"/>
        </w:rPr>
        <w:t>: Comparison of country trends in the Gini index between WID and PIP</w:t>
      </w:r>
    </w:p>
    <w:p w14:paraId="2C397A89" w14:textId="77777777" w:rsidR="004A05B7" w:rsidRPr="00077757" w:rsidRDefault="004A05B7" w:rsidP="00077757">
      <w:pPr>
        <w:spacing w:line="240" w:lineRule="auto"/>
        <w:jc w:val="center"/>
        <w:rPr>
          <w:rFonts w:ascii="Open Sans" w:hAnsi="Open Sans" w:cs="Open Sans"/>
        </w:rPr>
      </w:pPr>
      <w:r w:rsidRPr="00077757">
        <w:rPr>
          <w:rFonts w:ascii="Open Sans" w:hAnsi="Open Sans" w:cs="Open Sans"/>
          <w:noProof/>
        </w:rPr>
        <w:drawing>
          <wp:inline distT="0" distB="0" distL="0" distR="0" wp14:anchorId="3AF4C6B5" wp14:editId="65B974A1">
            <wp:extent cx="4279106" cy="3235960"/>
            <wp:effectExtent l="0" t="0" r="7620" b="2540"/>
            <wp:docPr id="1563063570" name="Picture 156306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extLst>
                        <a:ext uri="{28A0092B-C50C-407E-A947-70E740481C1C}">
                          <a14:useLocalDpi xmlns:a14="http://schemas.microsoft.com/office/drawing/2010/main" val="0"/>
                        </a:ext>
                      </a:extLst>
                    </a:blip>
                    <a:srcRect t="2766" b="119"/>
                    <a:stretch/>
                  </pic:blipFill>
                  <pic:spPr bwMode="auto">
                    <a:xfrm>
                      <a:off x="0" y="0"/>
                      <a:ext cx="4290537" cy="3244605"/>
                    </a:xfrm>
                    <a:prstGeom prst="rect">
                      <a:avLst/>
                    </a:prstGeom>
                    <a:ln>
                      <a:noFill/>
                    </a:ln>
                    <a:extLst>
                      <a:ext uri="{53640926-AAD7-44D8-BBD7-CCE9431645EC}">
                        <a14:shadowObscured xmlns:a14="http://schemas.microsoft.com/office/drawing/2010/main"/>
                      </a:ext>
                    </a:extLst>
                  </pic:spPr>
                </pic:pic>
              </a:graphicData>
            </a:graphic>
          </wp:inline>
        </w:drawing>
      </w:r>
    </w:p>
    <w:p w14:paraId="198F7F70" w14:textId="77777777" w:rsidR="00F92055" w:rsidRPr="00077757" w:rsidRDefault="00F92055" w:rsidP="00077757">
      <w:pPr>
        <w:spacing w:line="240" w:lineRule="auto"/>
        <w:rPr>
          <w:rFonts w:ascii="Open Sans" w:hAnsi="Open Sans" w:cs="Open Sans"/>
        </w:rPr>
      </w:pPr>
    </w:p>
    <w:p w14:paraId="1AD4B4C4" w14:textId="5F4FC34E" w:rsidR="00803FAC" w:rsidRPr="002513DE" w:rsidRDefault="00F92055" w:rsidP="00077757">
      <w:pPr>
        <w:pStyle w:val="Heading4"/>
        <w:spacing w:line="240" w:lineRule="auto"/>
        <w:rPr>
          <w:rFonts w:ascii="Open Sans" w:hAnsi="Open Sans" w:cs="Open Sans"/>
          <w:sz w:val="20"/>
          <w:szCs w:val="20"/>
        </w:rPr>
      </w:pPr>
      <w:r w:rsidRPr="001F3E92">
        <w:rPr>
          <w:rFonts w:ascii="Open Sans" w:hAnsi="Open Sans" w:cs="Open Sans"/>
          <w:sz w:val="20"/>
          <w:szCs w:val="20"/>
        </w:rPr>
        <w:t xml:space="preserve">Inconsistencies between Household Surveys and </w:t>
      </w:r>
      <w:r w:rsidR="00D3711A" w:rsidRPr="001F3E92">
        <w:rPr>
          <w:rFonts w:ascii="Open Sans" w:hAnsi="Open Sans" w:cs="Open Sans"/>
          <w:sz w:val="20"/>
          <w:szCs w:val="20"/>
        </w:rPr>
        <w:t xml:space="preserve">National </w:t>
      </w:r>
      <w:r w:rsidRPr="001F3E92">
        <w:rPr>
          <w:rFonts w:ascii="Open Sans" w:hAnsi="Open Sans" w:cs="Open Sans"/>
          <w:sz w:val="20"/>
          <w:szCs w:val="20"/>
        </w:rPr>
        <w:t>Accounts</w:t>
      </w:r>
    </w:p>
    <w:p w14:paraId="32703EF5" w14:textId="77777777" w:rsidR="00F92055" w:rsidRPr="001F3E92" w:rsidRDefault="00F92055" w:rsidP="00077757">
      <w:pPr>
        <w:spacing w:line="240" w:lineRule="auto"/>
        <w:jc w:val="both"/>
        <w:rPr>
          <w:rFonts w:ascii="Open Sans" w:hAnsi="Open Sans" w:cs="Open Sans"/>
          <w:sz w:val="20"/>
          <w:szCs w:val="20"/>
        </w:rPr>
      </w:pPr>
    </w:p>
    <w:p w14:paraId="2E1D5DB1" w14:textId="12046500" w:rsidR="00E97EB3" w:rsidRDefault="00580F95">
      <w:pPr>
        <w:spacing w:line="240" w:lineRule="auto"/>
        <w:jc w:val="both"/>
        <w:rPr>
          <w:rFonts w:ascii="Open Sans" w:hAnsi="Open Sans" w:cs="Open Sans"/>
          <w:sz w:val="20"/>
          <w:szCs w:val="20"/>
        </w:rPr>
      </w:pPr>
      <w:r w:rsidRPr="002513DE">
        <w:rPr>
          <w:rFonts w:ascii="Open Sans" w:hAnsi="Open Sans" w:cs="Open Sans"/>
          <w:sz w:val="20"/>
          <w:szCs w:val="20"/>
        </w:rPr>
        <w:t xml:space="preserve">It is not just </w:t>
      </w:r>
      <w:r w:rsidR="00031FBB">
        <w:rPr>
          <w:rFonts w:ascii="Open Sans" w:hAnsi="Open Sans" w:cs="Open Sans"/>
          <w:sz w:val="20"/>
          <w:szCs w:val="20"/>
        </w:rPr>
        <w:t>at</w:t>
      </w:r>
      <w:r w:rsidRPr="002513DE">
        <w:rPr>
          <w:rFonts w:ascii="Open Sans" w:hAnsi="Open Sans" w:cs="Open Sans"/>
          <w:sz w:val="20"/>
          <w:szCs w:val="20"/>
        </w:rPr>
        <w:t xml:space="preserve"> the top of distributions that household surveys may fail to capture income and consumption. Household surveys routinely omit certain spending, such as spending on durable goods or housing, and at times do not capture all relevant food consumption due to limitations in the questionnaires or because of poor data quality (Foster and Daylan 2024). Partly for these reasons, large gaps have been observed between mean income and consumption from household surveys and national accounts (Deaton 2005, </w:t>
      </w:r>
      <w:proofErr w:type="spellStart"/>
      <w:r w:rsidRPr="002513DE">
        <w:rPr>
          <w:rFonts w:ascii="Open Sans" w:hAnsi="Open Sans" w:cs="Open Sans"/>
          <w:sz w:val="20"/>
          <w:szCs w:val="20"/>
        </w:rPr>
        <w:t>Ravallion</w:t>
      </w:r>
      <w:proofErr w:type="spellEnd"/>
      <w:r w:rsidRPr="002513DE">
        <w:rPr>
          <w:rFonts w:ascii="Open Sans" w:hAnsi="Open Sans" w:cs="Open Sans"/>
          <w:sz w:val="20"/>
          <w:szCs w:val="20"/>
        </w:rPr>
        <w:t xml:space="preserve"> 2003, </w:t>
      </w:r>
      <w:proofErr w:type="spellStart"/>
      <w:r w:rsidRPr="002513DE">
        <w:rPr>
          <w:rFonts w:ascii="Open Sans" w:hAnsi="Open Sans" w:cs="Open Sans"/>
          <w:sz w:val="20"/>
          <w:szCs w:val="20"/>
        </w:rPr>
        <w:t>Prydz</w:t>
      </w:r>
      <w:proofErr w:type="spellEnd"/>
      <w:r w:rsidRPr="002513DE">
        <w:rPr>
          <w:rFonts w:ascii="Open Sans" w:hAnsi="Open Sans" w:cs="Open Sans"/>
          <w:sz w:val="20"/>
          <w:szCs w:val="20"/>
        </w:rPr>
        <w:t xml:space="preserve"> et al 2022). </w:t>
      </w:r>
    </w:p>
    <w:p w14:paraId="11E72482" w14:textId="28BC4C0B" w:rsidR="00580F95" w:rsidRPr="002513DE" w:rsidRDefault="00580F95" w:rsidP="00077757">
      <w:pPr>
        <w:spacing w:line="240" w:lineRule="auto"/>
        <w:jc w:val="both"/>
        <w:rPr>
          <w:rFonts w:ascii="Open Sans" w:hAnsi="Open Sans" w:cs="Open Sans"/>
          <w:sz w:val="20"/>
          <w:szCs w:val="20"/>
        </w:rPr>
      </w:pPr>
      <w:r w:rsidRPr="002513DE">
        <w:rPr>
          <w:rFonts w:ascii="Open Sans" w:hAnsi="Open Sans" w:cs="Open Sans"/>
          <w:sz w:val="20"/>
          <w:szCs w:val="20"/>
        </w:rPr>
        <w:t>Some</w:t>
      </w:r>
      <w:r w:rsidR="00E97EB3">
        <w:rPr>
          <w:rFonts w:ascii="Open Sans" w:hAnsi="Open Sans" w:cs="Open Sans"/>
          <w:sz w:val="20"/>
          <w:szCs w:val="20"/>
        </w:rPr>
        <w:t xml:space="preserve"> researchers</w:t>
      </w:r>
      <w:r w:rsidRPr="002513DE">
        <w:rPr>
          <w:rFonts w:ascii="Open Sans" w:hAnsi="Open Sans" w:cs="Open Sans"/>
          <w:sz w:val="20"/>
          <w:szCs w:val="20"/>
        </w:rPr>
        <w:t xml:space="preserve"> have responded to this misalignment</w:t>
      </w:r>
      <w:r w:rsidR="00E97EB3">
        <w:rPr>
          <w:rFonts w:ascii="Open Sans" w:hAnsi="Open Sans" w:cs="Open Sans"/>
          <w:sz w:val="20"/>
          <w:szCs w:val="20"/>
        </w:rPr>
        <w:t xml:space="preserve"> between surveys and national accounts</w:t>
      </w:r>
      <w:r w:rsidRPr="002513DE">
        <w:rPr>
          <w:rFonts w:ascii="Open Sans" w:hAnsi="Open Sans" w:cs="Open Sans"/>
          <w:sz w:val="20"/>
          <w:szCs w:val="20"/>
        </w:rPr>
        <w:t xml:space="preserve"> by arguing that mean income or consumption in household surveys should be scaled up to match mean national income or household expenditure as measured in national accounts (Sala-i-Martin and </w:t>
      </w:r>
      <w:proofErr w:type="spellStart"/>
      <w:r w:rsidRPr="002513DE">
        <w:rPr>
          <w:rFonts w:ascii="Open Sans" w:hAnsi="Open Sans" w:cs="Open Sans"/>
          <w:sz w:val="20"/>
          <w:szCs w:val="20"/>
        </w:rPr>
        <w:t>Pinkovskiy</w:t>
      </w:r>
      <w:proofErr w:type="spellEnd"/>
      <w:r w:rsidRPr="002513DE">
        <w:rPr>
          <w:rFonts w:ascii="Open Sans" w:hAnsi="Open Sans" w:cs="Open Sans"/>
          <w:sz w:val="20"/>
          <w:szCs w:val="20"/>
        </w:rPr>
        <w:t xml:space="preserve"> 2014)</w:t>
      </w:r>
      <w:r w:rsidR="00ED10F2">
        <w:rPr>
          <w:rFonts w:ascii="Open Sans" w:hAnsi="Open Sans" w:cs="Open Sans"/>
          <w:sz w:val="20"/>
          <w:szCs w:val="20"/>
        </w:rPr>
        <w:t xml:space="preserve">. More sophisticated methods such as the WID approach (Figure </w:t>
      </w:r>
      <w:r w:rsidR="00636046">
        <w:rPr>
          <w:rFonts w:ascii="Open Sans" w:hAnsi="Open Sans" w:cs="Open Sans"/>
          <w:sz w:val="20"/>
          <w:szCs w:val="20"/>
        </w:rPr>
        <w:t>3</w:t>
      </w:r>
      <w:r w:rsidR="00ED10F2">
        <w:rPr>
          <w:rFonts w:ascii="Open Sans" w:hAnsi="Open Sans" w:cs="Open Sans"/>
          <w:sz w:val="20"/>
          <w:szCs w:val="20"/>
        </w:rPr>
        <w:t>)</w:t>
      </w:r>
      <w:r w:rsidRPr="002513DE">
        <w:rPr>
          <w:rFonts w:ascii="Open Sans" w:hAnsi="Open Sans" w:cs="Open Sans"/>
          <w:sz w:val="20"/>
          <w:szCs w:val="20"/>
        </w:rPr>
        <w:t xml:space="preserve"> </w:t>
      </w:r>
      <w:r w:rsidR="00ED10F2">
        <w:rPr>
          <w:rFonts w:ascii="Open Sans" w:hAnsi="Open Sans" w:cs="Open Sans"/>
          <w:sz w:val="20"/>
          <w:szCs w:val="20"/>
        </w:rPr>
        <w:t xml:space="preserve">also </w:t>
      </w:r>
      <w:r w:rsidRPr="002513DE">
        <w:rPr>
          <w:rFonts w:ascii="Open Sans" w:hAnsi="Open Sans" w:cs="Open Sans"/>
          <w:sz w:val="20"/>
          <w:szCs w:val="20"/>
        </w:rPr>
        <w:t>distribute</w:t>
      </w:r>
      <w:r w:rsidR="00ED10F2">
        <w:rPr>
          <w:rFonts w:ascii="Open Sans" w:hAnsi="Open Sans" w:cs="Open Sans"/>
          <w:sz w:val="20"/>
          <w:szCs w:val="20"/>
        </w:rPr>
        <w:t>s</w:t>
      </w:r>
      <w:r w:rsidRPr="002513DE">
        <w:rPr>
          <w:rFonts w:ascii="Open Sans" w:hAnsi="Open Sans" w:cs="Open Sans"/>
          <w:sz w:val="20"/>
          <w:szCs w:val="20"/>
        </w:rPr>
        <w:t xml:space="preserve"> national accounts aggregates to create a distribution of income or consumption (Piketty et al. 2018).</w:t>
      </w:r>
    </w:p>
    <w:p w14:paraId="67165DE5" w14:textId="266C1E6C" w:rsidR="003A7369" w:rsidRDefault="0030257E">
      <w:pPr>
        <w:spacing w:line="240" w:lineRule="auto"/>
        <w:jc w:val="both"/>
        <w:rPr>
          <w:rFonts w:ascii="Open Sans" w:hAnsi="Open Sans" w:cs="Open Sans"/>
          <w:sz w:val="20"/>
          <w:szCs w:val="20"/>
        </w:rPr>
      </w:pPr>
      <w:r>
        <w:rPr>
          <w:rFonts w:ascii="Open Sans" w:hAnsi="Open Sans" w:cs="Open Sans"/>
          <w:sz w:val="20"/>
          <w:szCs w:val="20"/>
        </w:rPr>
        <w:t xml:space="preserve">This rescaling </w:t>
      </w:r>
      <w:r w:rsidR="003616E4">
        <w:rPr>
          <w:rFonts w:ascii="Open Sans" w:hAnsi="Open Sans" w:cs="Open Sans"/>
          <w:sz w:val="20"/>
          <w:szCs w:val="20"/>
        </w:rPr>
        <w:t xml:space="preserve">can </w:t>
      </w:r>
      <w:r>
        <w:rPr>
          <w:rFonts w:ascii="Open Sans" w:hAnsi="Open Sans" w:cs="Open Sans"/>
          <w:sz w:val="20"/>
          <w:szCs w:val="20"/>
        </w:rPr>
        <w:t>be problematic, and more research is needed on this area. N</w:t>
      </w:r>
      <w:r w:rsidR="00580F95" w:rsidRPr="002513DE">
        <w:rPr>
          <w:rFonts w:ascii="Open Sans" w:hAnsi="Open Sans" w:cs="Open Sans"/>
          <w:sz w:val="20"/>
          <w:szCs w:val="20"/>
        </w:rPr>
        <w:t>ational accounts are not immune to measurement error themselves (</w:t>
      </w:r>
      <w:proofErr w:type="spellStart"/>
      <w:r w:rsidR="00580F95" w:rsidRPr="002513DE">
        <w:rPr>
          <w:rFonts w:ascii="Open Sans" w:hAnsi="Open Sans" w:cs="Open Sans"/>
          <w:sz w:val="20"/>
          <w:szCs w:val="20"/>
        </w:rPr>
        <w:t>Ravallion</w:t>
      </w:r>
      <w:proofErr w:type="spellEnd"/>
      <w:r w:rsidR="00580F95" w:rsidRPr="002513DE">
        <w:rPr>
          <w:rFonts w:ascii="Open Sans" w:hAnsi="Open Sans" w:cs="Open Sans"/>
          <w:sz w:val="20"/>
          <w:szCs w:val="20"/>
        </w:rPr>
        <w:t xml:space="preserve"> 2003). National accounts data have been found to change dramatically when the base year is changed (Economist 2014), to be overestimated by autocrats (Martinez 2022), underestimated to get more foreign assistance (Kerner, </w:t>
      </w:r>
      <w:proofErr w:type="spellStart"/>
      <w:r w:rsidR="00580F95" w:rsidRPr="002513DE">
        <w:rPr>
          <w:rFonts w:ascii="Open Sans" w:hAnsi="Open Sans" w:cs="Open Sans"/>
          <w:sz w:val="20"/>
          <w:szCs w:val="20"/>
        </w:rPr>
        <w:t>Jerven</w:t>
      </w:r>
      <w:proofErr w:type="spellEnd"/>
      <w:r w:rsidR="00580F95" w:rsidRPr="002513DE">
        <w:rPr>
          <w:rFonts w:ascii="Open Sans" w:hAnsi="Open Sans" w:cs="Open Sans"/>
          <w:sz w:val="20"/>
          <w:szCs w:val="20"/>
        </w:rPr>
        <w:t xml:space="preserve">, and Beatty 2017), and to have ample room for improvement in developing countries (Angrist et al. 2021). </w:t>
      </w:r>
      <w:r w:rsidR="00AD0EE7">
        <w:rPr>
          <w:rFonts w:ascii="Open Sans" w:hAnsi="Open Sans" w:cs="Open Sans"/>
          <w:sz w:val="20"/>
          <w:szCs w:val="20"/>
        </w:rPr>
        <w:t xml:space="preserve">Furthermore, </w:t>
      </w:r>
      <w:r w:rsidR="00A86755">
        <w:rPr>
          <w:rFonts w:ascii="Open Sans" w:hAnsi="Open Sans" w:cs="Open Sans"/>
          <w:sz w:val="20"/>
          <w:szCs w:val="20"/>
        </w:rPr>
        <w:t xml:space="preserve">the </w:t>
      </w:r>
      <w:r w:rsidR="001D0232">
        <w:rPr>
          <w:rFonts w:ascii="Open Sans" w:hAnsi="Open Sans" w:cs="Open Sans"/>
          <w:sz w:val="20"/>
          <w:szCs w:val="20"/>
        </w:rPr>
        <w:t>literature that scales up to national accounts</w:t>
      </w:r>
      <w:r w:rsidR="00AA266A">
        <w:rPr>
          <w:rFonts w:ascii="Open Sans" w:hAnsi="Open Sans" w:cs="Open Sans"/>
          <w:sz w:val="20"/>
          <w:szCs w:val="20"/>
        </w:rPr>
        <w:t xml:space="preserve"> typically ignores the issue of how to </w:t>
      </w:r>
      <w:r w:rsidR="00D87075">
        <w:rPr>
          <w:rFonts w:ascii="Open Sans" w:hAnsi="Open Sans" w:cs="Open Sans"/>
          <w:sz w:val="20"/>
          <w:szCs w:val="20"/>
        </w:rPr>
        <w:t>adjust</w:t>
      </w:r>
      <w:r w:rsidR="00AA266A">
        <w:rPr>
          <w:rFonts w:ascii="Open Sans" w:hAnsi="Open Sans" w:cs="Open Sans"/>
          <w:sz w:val="20"/>
          <w:szCs w:val="20"/>
        </w:rPr>
        <w:t xml:space="preserve"> the </w:t>
      </w:r>
      <w:r w:rsidR="00663954">
        <w:rPr>
          <w:rFonts w:ascii="Open Sans" w:hAnsi="Open Sans" w:cs="Open Sans"/>
          <w:sz w:val="20"/>
          <w:szCs w:val="20"/>
        </w:rPr>
        <w:t>poverty lines</w:t>
      </w:r>
      <w:r w:rsidR="00D87075">
        <w:rPr>
          <w:rFonts w:ascii="Open Sans" w:hAnsi="Open Sans" w:cs="Open Sans"/>
          <w:sz w:val="20"/>
          <w:szCs w:val="20"/>
        </w:rPr>
        <w:t xml:space="preserve">, </w:t>
      </w:r>
      <w:r w:rsidR="00333A57">
        <w:rPr>
          <w:rFonts w:ascii="Open Sans" w:hAnsi="Open Sans" w:cs="Open Sans"/>
          <w:sz w:val="20"/>
          <w:szCs w:val="20"/>
        </w:rPr>
        <w:t>which</w:t>
      </w:r>
      <w:r w:rsidR="00D87075">
        <w:rPr>
          <w:rFonts w:ascii="Open Sans" w:hAnsi="Open Sans" w:cs="Open Sans"/>
          <w:sz w:val="20"/>
          <w:szCs w:val="20"/>
        </w:rPr>
        <w:t xml:space="preserve"> have been set with a </w:t>
      </w:r>
      <w:r w:rsidR="00663954">
        <w:rPr>
          <w:rFonts w:ascii="Open Sans" w:hAnsi="Open Sans" w:cs="Open Sans"/>
          <w:sz w:val="20"/>
          <w:szCs w:val="20"/>
        </w:rPr>
        <w:t xml:space="preserve">survey-based </w:t>
      </w:r>
      <w:r w:rsidR="001A3833">
        <w:rPr>
          <w:rFonts w:ascii="Open Sans" w:hAnsi="Open Sans" w:cs="Open Sans"/>
          <w:sz w:val="20"/>
          <w:szCs w:val="20"/>
        </w:rPr>
        <w:t>distribution in mind</w:t>
      </w:r>
      <w:r w:rsidR="00EB6E05">
        <w:rPr>
          <w:rFonts w:ascii="Open Sans" w:hAnsi="Open Sans" w:cs="Open Sans"/>
          <w:sz w:val="20"/>
          <w:szCs w:val="20"/>
        </w:rPr>
        <w:t xml:space="preserve">. </w:t>
      </w:r>
      <w:r w:rsidR="00AE0E15">
        <w:rPr>
          <w:rFonts w:ascii="Open Sans" w:hAnsi="Open Sans" w:cs="Open Sans"/>
          <w:sz w:val="20"/>
          <w:szCs w:val="20"/>
        </w:rPr>
        <w:t xml:space="preserve"> </w:t>
      </w:r>
      <w:r w:rsidR="00580F95" w:rsidRPr="002513DE">
        <w:rPr>
          <w:rFonts w:ascii="Open Sans" w:hAnsi="Open Sans" w:cs="Open Sans"/>
          <w:sz w:val="20"/>
          <w:szCs w:val="20"/>
        </w:rPr>
        <w:t xml:space="preserve">In addition, national accounts and household surveys do not measure identical concepts. For example, some </w:t>
      </w:r>
      <w:r w:rsidR="00580F95" w:rsidRPr="002513DE">
        <w:rPr>
          <w:rFonts w:ascii="Open Sans" w:hAnsi="Open Sans" w:cs="Open Sans"/>
          <w:sz w:val="20"/>
          <w:szCs w:val="20"/>
        </w:rPr>
        <w:lastRenderedPageBreak/>
        <w:t xml:space="preserve">spending from consumption aggregates is deliberately excluded because it is deemed to be less relevant for households’ welfare (Mancini and </w:t>
      </w:r>
      <w:proofErr w:type="spellStart"/>
      <w:r w:rsidR="00580F95" w:rsidRPr="002513DE">
        <w:rPr>
          <w:rFonts w:ascii="Open Sans" w:hAnsi="Open Sans" w:cs="Open Sans"/>
          <w:sz w:val="20"/>
          <w:szCs w:val="20"/>
        </w:rPr>
        <w:t>Vecchi</w:t>
      </w:r>
      <w:proofErr w:type="spellEnd"/>
      <w:r w:rsidR="00580F95" w:rsidRPr="002513DE">
        <w:rPr>
          <w:rFonts w:ascii="Open Sans" w:hAnsi="Open Sans" w:cs="Open Sans"/>
          <w:sz w:val="20"/>
          <w:szCs w:val="20"/>
        </w:rPr>
        <w:t xml:space="preserve"> 2022). </w:t>
      </w:r>
    </w:p>
    <w:p w14:paraId="4616393F" w14:textId="1325B119" w:rsidR="006956EF" w:rsidRPr="001F3E92" w:rsidRDefault="00580F95" w:rsidP="00077757">
      <w:pPr>
        <w:spacing w:line="240" w:lineRule="auto"/>
        <w:jc w:val="both"/>
        <w:rPr>
          <w:rFonts w:ascii="Open Sans" w:hAnsi="Open Sans" w:cs="Open Sans"/>
          <w:sz w:val="20"/>
          <w:szCs w:val="20"/>
        </w:rPr>
      </w:pPr>
      <w:r w:rsidRPr="002513DE">
        <w:rPr>
          <w:rFonts w:ascii="Open Sans" w:hAnsi="Open Sans" w:cs="Open Sans"/>
          <w:sz w:val="20"/>
          <w:szCs w:val="20"/>
        </w:rPr>
        <w:t>For these reasons, the Atkinson Commission on Global Poverty argued that a more nuanced approach to deal with measurement concerns in household survey data is to adjust for these concerns rather than to introduce new concerns with national accounts data</w:t>
      </w:r>
      <w:r w:rsidR="00282148" w:rsidRPr="00282148">
        <w:rPr>
          <w:rFonts w:ascii="Open Sans" w:hAnsi="Open Sans" w:cs="Open Sans"/>
          <w:sz w:val="20"/>
          <w:szCs w:val="20"/>
        </w:rPr>
        <w:t xml:space="preserve"> </w:t>
      </w:r>
      <w:r w:rsidR="00282148" w:rsidRPr="001F3E92">
        <w:rPr>
          <w:rFonts w:ascii="Open Sans" w:hAnsi="Open Sans" w:cs="Open Sans"/>
          <w:sz w:val="20"/>
          <w:szCs w:val="20"/>
        </w:rPr>
        <w:fldChar w:fldCharType="begin"/>
      </w:r>
      <w:r w:rsidR="000456FF">
        <w:rPr>
          <w:rFonts w:ascii="Open Sans" w:hAnsi="Open Sans" w:cs="Open Sans"/>
          <w:sz w:val="20"/>
          <w:szCs w:val="20"/>
        </w:rPr>
        <w:instrText xml:space="preserve"> ADDIN ZOTERO_ITEM CSL_CITATION {"citationID":"KSq6SPCf","properties":{"formattedCitation":"(World Bank, 2017)","plainCitation":"(World Bank, 2017)","noteIndex":0},"citationItems":[{"id":983,"uris":["http://zotero.org/groups/5125234/items/6PLM5K4B"],"itemData":{"id":983,"type":"book","publisher":"Washington, DC: World Bank","title":"Monitoring Global Poverty: Report of the Commission on Global Poverty","author":[{"family":"World Bank","given":""}],"issued":{"date-parts":[["2017"]]}}}],"schema":"https://github.com/citation-style-language/schema/raw/master/csl-citation.json"} </w:instrText>
      </w:r>
      <w:r w:rsidR="00282148" w:rsidRPr="001F3E92">
        <w:rPr>
          <w:rFonts w:ascii="Open Sans" w:hAnsi="Open Sans" w:cs="Open Sans"/>
          <w:sz w:val="20"/>
          <w:szCs w:val="20"/>
        </w:rPr>
        <w:fldChar w:fldCharType="separate"/>
      </w:r>
      <w:r w:rsidR="00282148" w:rsidRPr="001F3E92">
        <w:rPr>
          <w:rFonts w:ascii="Open Sans" w:hAnsi="Open Sans" w:cs="Open Sans"/>
          <w:sz w:val="20"/>
          <w:szCs w:val="20"/>
        </w:rPr>
        <w:t>(World Bank, 2017)</w:t>
      </w:r>
      <w:r w:rsidR="00282148" w:rsidRPr="001F3E92">
        <w:rPr>
          <w:rFonts w:ascii="Open Sans" w:hAnsi="Open Sans" w:cs="Open Sans"/>
          <w:sz w:val="20"/>
          <w:szCs w:val="20"/>
        </w:rPr>
        <w:fldChar w:fldCharType="end"/>
      </w:r>
    </w:p>
    <w:p w14:paraId="7D752464" w14:textId="4D61E42B" w:rsidR="006956EF" w:rsidRPr="00077757" w:rsidRDefault="006956EF" w:rsidP="00077757">
      <w:pPr>
        <w:spacing w:line="240" w:lineRule="auto"/>
        <w:jc w:val="both"/>
        <w:rPr>
          <w:rFonts w:ascii="Open Sans" w:hAnsi="Open Sans" w:cs="Open Sans"/>
        </w:rPr>
      </w:pPr>
    </w:p>
    <w:p w14:paraId="6FBF1DE2" w14:textId="00650B92" w:rsidR="006956EF" w:rsidRPr="004C7C08" w:rsidRDefault="00797BC6" w:rsidP="004C7C08">
      <w:pPr>
        <w:pStyle w:val="Heading2"/>
        <w:spacing w:before="160" w:after="120" w:line="240" w:lineRule="auto"/>
        <w:ind w:left="576" w:hanging="576"/>
        <w:jc w:val="both"/>
        <w:rPr>
          <w:rFonts w:ascii="Open Sans" w:hAnsi="Open Sans"/>
          <w:sz w:val="20"/>
        </w:rPr>
      </w:pPr>
      <w:r w:rsidRPr="004C7C08">
        <w:rPr>
          <w:rFonts w:ascii="Open Sans" w:hAnsi="Open Sans"/>
          <w:sz w:val="20"/>
        </w:rPr>
        <w:t>Non-monetary welfare</w:t>
      </w:r>
      <w:r w:rsidR="006956EF" w:rsidRPr="004C7C08">
        <w:rPr>
          <w:rFonts w:ascii="Open Sans" w:hAnsi="Open Sans"/>
          <w:sz w:val="20"/>
        </w:rPr>
        <w:t xml:space="preserve">: </w:t>
      </w:r>
      <w:r w:rsidR="00F801C2" w:rsidRPr="004C7C08">
        <w:rPr>
          <w:rFonts w:ascii="Open Sans" w:hAnsi="Open Sans"/>
          <w:sz w:val="20"/>
        </w:rPr>
        <w:t xml:space="preserve">Improving the measurement of </w:t>
      </w:r>
      <w:r w:rsidR="005C2D87" w:rsidRPr="004C7C08">
        <w:rPr>
          <w:rFonts w:ascii="Open Sans" w:hAnsi="Open Sans"/>
          <w:sz w:val="20"/>
        </w:rPr>
        <w:t xml:space="preserve">the livable planet indicator of </w:t>
      </w:r>
      <w:r w:rsidR="00F801C2" w:rsidRPr="004C7C08">
        <w:rPr>
          <w:rFonts w:ascii="Open Sans" w:hAnsi="Open Sans"/>
          <w:sz w:val="20"/>
        </w:rPr>
        <w:t xml:space="preserve">food </w:t>
      </w:r>
      <w:proofErr w:type="gramStart"/>
      <w:r w:rsidR="00F801C2" w:rsidRPr="004C7C08">
        <w:rPr>
          <w:rFonts w:ascii="Open Sans" w:hAnsi="Open Sans"/>
          <w:sz w:val="20"/>
        </w:rPr>
        <w:t>insecurity</w:t>
      </w:r>
      <w:proofErr w:type="gramEnd"/>
    </w:p>
    <w:p w14:paraId="2177AA55" w14:textId="77777777" w:rsidR="00F801C2" w:rsidRPr="001F3E92" w:rsidRDefault="00F801C2" w:rsidP="00077757">
      <w:pPr>
        <w:spacing w:line="240" w:lineRule="auto"/>
        <w:jc w:val="both"/>
        <w:rPr>
          <w:rFonts w:ascii="Open Sans" w:hAnsi="Open Sans" w:cs="Open Sans"/>
          <w:sz w:val="20"/>
          <w:szCs w:val="20"/>
        </w:rPr>
      </w:pPr>
    </w:p>
    <w:p w14:paraId="58D7184B" w14:textId="0EB540F0" w:rsidR="00564CB3" w:rsidRDefault="00162C4D">
      <w:pPr>
        <w:spacing w:line="240" w:lineRule="auto"/>
        <w:jc w:val="both"/>
        <w:rPr>
          <w:rFonts w:ascii="Open Sans" w:hAnsi="Open Sans" w:cs="Open Sans"/>
          <w:sz w:val="20"/>
          <w:szCs w:val="20"/>
        </w:rPr>
      </w:pPr>
      <w:r w:rsidRPr="002513DE">
        <w:rPr>
          <w:rFonts w:ascii="Open Sans" w:hAnsi="Open Sans" w:cs="Open Sans"/>
          <w:sz w:val="20"/>
          <w:szCs w:val="20"/>
        </w:rPr>
        <w:t xml:space="preserve">Important dimensions of welfare are not captured by monetary measures. </w:t>
      </w:r>
      <w:r w:rsidR="00A75B80" w:rsidRPr="002513DE">
        <w:rPr>
          <w:rFonts w:ascii="Open Sans" w:hAnsi="Open Sans" w:cs="Open Sans"/>
          <w:sz w:val="20"/>
          <w:szCs w:val="20"/>
        </w:rPr>
        <w:t xml:space="preserve">The World Bank’s multi-dimensional poverty measure (MPM) </w:t>
      </w:r>
      <w:r w:rsidR="005401EF" w:rsidRPr="002513DE">
        <w:rPr>
          <w:rFonts w:ascii="Open Sans" w:hAnsi="Open Sans" w:cs="Open Sans"/>
          <w:sz w:val="20"/>
          <w:szCs w:val="20"/>
        </w:rPr>
        <w:t xml:space="preserve">fills this gap by </w:t>
      </w:r>
      <w:r w:rsidR="00047315" w:rsidRPr="002513DE">
        <w:rPr>
          <w:rFonts w:ascii="Open Sans" w:hAnsi="Open Sans" w:cs="Open Sans"/>
          <w:sz w:val="20"/>
          <w:szCs w:val="20"/>
        </w:rPr>
        <w:t xml:space="preserve">aggregating poverty in both monetary and non-monetary terms. </w:t>
      </w:r>
      <w:r w:rsidR="00B51063" w:rsidRPr="002513DE">
        <w:rPr>
          <w:rFonts w:ascii="Open Sans" w:hAnsi="Open Sans" w:cs="Open Sans"/>
          <w:sz w:val="20"/>
          <w:szCs w:val="20"/>
        </w:rPr>
        <w:t xml:space="preserve">As noted in the </w:t>
      </w:r>
      <w:r w:rsidR="007D7A84" w:rsidRPr="002513DE">
        <w:rPr>
          <w:rFonts w:ascii="Open Sans" w:hAnsi="Open Sans" w:cs="Open Sans"/>
          <w:sz w:val="20"/>
          <w:szCs w:val="20"/>
        </w:rPr>
        <w:t>2018 PSPR, the MPM could be expanded with additional dimensions</w:t>
      </w:r>
      <w:r w:rsidR="008812BF">
        <w:rPr>
          <w:rFonts w:ascii="Open Sans" w:hAnsi="Open Sans" w:cs="Open Sans"/>
          <w:sz w:val="20"/>
          <w:szCs w:val="20"/>
        </w:rPr>
        <w:t xml:space="preserve"> </w:t>
      </w:r>
      <w:r w:rsidR="00C12174">
        <w:rPr>
          <w:rFonts w:ascii="Open Sans" w:hAnsi="Open Sans" w:cs="Open Sans"/>
          <w:sz w:val="20"/>
          <w:szCs w:val="20"/>
        </w:rPr>
        <w:t>(</w:t>
      </w:r>
      <w:r w:rsidR="002513DE">
        <w:rPr>
          <w:rFonts w:ascii="Open Sans" w:hAnsi="Open Sans" w:cs="Open Sans"/>
          <w:sz w:val="20"/>
          <w:szCs w:val="20"/>
        </w:rPr>
        <w:t xml:space="preserve">such as </w:t>
      </w:r>
      <w:r w:rsidR="00B61FAB" w:rsidRPr="002513DE">
        <w:rPr>
          <w:rFonts w:ascii="Open Sans" w:hAnsi="Open Sans" w:cs="Open Sans"/>
          <w:sz w:val="20"/>
          <w:szCs w:val="20"/>
        </w:rPr>
        <w:t xml:space="preserve">health and security), but this importantly depends on the availability of </w:t>
      </w:r>
      <w:r w:rsidR="00A36B98" w:rsidRPr="002513DE">
        <w:rPr>
          <w:rFonts w:ascii="Open Sans" w:hAnsi="Open Sans" w:cs="Open Sans"/>
          <w:sz w:val="20"/>
          <w:szCs w:val="20"/>
        </w:rPr>
        <w:t>these data</w:t>
      </w:r>
      <w:r w:rsidR="003C56AC">
        <w:rPr>
          <w:rFonts w:ascii="Open Sans" w:hAnsi="Open Sans" w:cs="Open Sans"/>
          <w:sz w:val="20"/>
          <w:szCs w:val="20"/>
        </w:rPr>
        <w:t xml:space="preserve"> </w:t>
      </w:r>
      <w:r w:rsidR="003C56AC">
        <w:rPr>
          <w:rFonts w:ascii="Open Sans" w:hAnsi="Open Sans" w:cs="Open Sans"/>
          <w:sz w:val="20"/>
          <w:szCs w:val="20"/>
        </w:rPr>
        <w:fldChar w:fldCharType="begin"/>
      </w:r>
      <w:r w:rsidR="003C56AC">
        <w:rPr>
          <w:rFonts w:ascii="Open Sans" w:hAnsi="Open Sans" w:cs="Open Sans"/>
          <w:sz w:val="20"/>
          <w:szCs w:val="20"/>
        </w:rPr>
        <w:instrText xml:space="preserve"> ADDIN ZOTERO_ITEM CSL_CITATION {"citationID":"q34aBjrb","properties":{"formattedCitation":"(World Bank, 2018)","plainCitation":"(World Bank, 2018)","noteIndex":0},"citationItems":[{"id":958,"uris":["http://zotero.org/groups/5125234/items/XFB6LRYK"],"itemData":{"id":958,"type":"book","abstract":"The Poverty and Shared Prosperity series provides a global audience with the latest and most accurate estimates on trends in global poverty and shared prosperity.","event-place":"Washington, DC","publisher":"World Bank","publisher-place":"Washington, DC","title":"Poverty and Shared Prosperity 2018: Piecing Together the Poverty Puzzle","URL":"https://www.worldbank.org/en/publication/poverty-and-shared-prosperity-2018","author":[{"family":"World Bank","given":""}],"issued":{"date-parts":[["2018"]]}}}],"schema":"https://github.com/citation-style-language/schema/raw/master/csl-citation.json"} </w:instrText>
      </w:r>
      <w:r w:rsidR="003C56AC">
        <w:rPr>
          <w:rFonts w:ascii="Open Sans" w:hAnsi="Open Sans" w:cs="Open Sans"/>
          <w:sz w:val="20"/>
          <w:szCs w:val="20"/>
        </w:rPr>
        <w:fldChar w:fldCharType="separate"/>
      </w:r>
      <w:r w:rsidR="003C56AC" w:rsidRPr="000F398E">
        <w:rPr>
          <w:rFonts w:ascii="Open Sans" w:hAnsi="Open Sans" w:cs="Open Sans"/>
          <w:sz w:val="20"/>
        </w:rPr>
        <w:t>(World Bank, 2018)</w:t>
      </w:r>
      <w:r w:rsidR="003C56AC">
        <w:rPr>
          <w:rFonts w:ascii="Open Sans" w:hAnsi="Open Sans" w:cs="Open Sans"/>
          <w:sz w:val="20"/>
          <w:szCs w:val="20"/>
        </w:rPr>
        <w:fldChar w:fldCharType="end"/>
      </w:r>
      <w:r w:rsidR="00A36B98" w:rsidRPr="002513DE">
        <w:rPr>
          <w:rFonts w:ascii="Open Sans" w:hAnsi="Open Sans" w:cs="Open Sans"/>
          <w:sz w:val="20"/>
          <w:szCs w:val="20"/>
        </w:rPr>
        <w:t>. Th</w:t>
      </w:r>
      <w:r w:rsidR="002A5052" w:rsidRPr="002513DE">
        <w:rPr>
          <w:rFonts w:ascii="Open Sans" w:hAnsi="Open Sans" w:cs="Open Sans"/>
          <w:sz w:val="20"/>
          <w:szCs w:val="20"/>
        </w:rPr>
        <w:t xml:space="preserve">e data concerns </w:t>
      </w:r>
      <w:r w:rsidR="00E90F7D" w:rsidRPr="002513DE">
        <w:rPr>
          <w:rFonts w:ascii="Open Sans" w:hAnsi="Open Sans" w:cs="Open Sans"/>
          <w:sz w:val="20"/>
          <w:szCs w:val="20"/>
        </w:rPr>
        <w:t xml:space="preserve">will </w:t>
      </w:r>
      <w:r w:rsidR="00A36B98" w:rsidRPr="002513DE">
        <w:rPr>
          <w:rFonts w:ascii="Open Sans" w:hAnsi="Open Sans" w:cs="Open Sans"/>
          <w:sz w:val="20"/>
          <w:szCs w:val="20"/>
        </w:rPr>
        <w:t xml:space="preserve">not be the focus </w:t>
      </w:r>
      <w:r w:rsidR="00A36B98" w:rsidRPr="002513DE" w:rsidDel="0071171A">
        <w:rPr>
          <w:rFonts w:ascii="Open Sans" w:hAnsi="Open Sans" w:cs="Open Sans"/>
          <w:sz w:val="20"/>
          <w:szCs w:val="20"/>
        </w:rPr>
        <w:t>here</w:t>
      </w:r>
      <w:r w:rsidR="0071171A">
        <w:rPr>
          <w:rFonts w:ascii="Open Sans" w:hAnsi="Open Sans" w:cs="Open Sans"/>
          <w:sz w:val="20"/>
          <w:szCs w:val="20"/>
        </w:rPr>
        <w:t xml:space="preserve"> since</w:t>
      </w:r>
      <w:r w:rsidR="00544593">
        <w:rPr>
          <w:rFonts w:ascii="Open Sans" w:hAnsi="Open Sans" w:cs="Open Sans"/>
          <w:sz w:val="20"/>
          <w:szCs w:val="20"/>
        </w:rPr>
        <w:t xml:space="preserve"> they have been discussed in</w:t>
      </w:r>
      <w:r w:rsidR="003B7BB7">
        <w:rPr>
          <w:rFonts w:ascii="Open Sans" w:hAnsi="Open Sans" w:cs="Open Sans"/>
          <w:sz w:val="20"/>
          <w:szCs w:val="20"/>
        </w:rPr>
        <w:t xml:space="preserve"> the </w:t>
      </w:r>
      <w:r w:rsidR="003B7BB7" w:rsidRPr="002513DE">
        <w:rPr>
          <w:rFonts w:ascii="Open Sans" w:hAnsi="Open Sans" w:cs="Open Sans"/>
          <w:sz w:val="20"/>
          <w:szCs w:val="20"/>
        </w:rPr>
        <w:t>2018 PSPR</w:t>
      </w:r>
      <w:r w:rsidR="00FE0375">
        <w:rPr>
          <w:rFonts w:ascii="Open Sans" w:hAnsi="Open Sans" w:cs="Open Sans"/>
          <w:sz w:val="20"/>
          <w:szCs w:val="20"/>
        </w:rPr>
        <w:t xml:space="preserve"> </w:t>
      </w:r>
      <w:r w:rsidR="003B7BB7">
        <w:rPr>
          <w:rFonts w:ascii="Open Sans" w:hAnsi="Open Sans" w:cs="Open Sans"/>
          <w:sz w:val="20"/>
          <w:szCs w:val="20"/>
        </w:rPr>
        <w:fldChar w:fldCharType="begin"/>
      </w:r>
      <w:r w:rsidR="00DE122D">
        <w:rPr>
          <w:rFonts w:ascii="Open Sans" w:hAnsi="Open Sans" w:cs="Open Sans"/>
          <w:sz w:val="20"/>
          <w:szCs w:val="20"/>
        </w:rPr>
        <w:instrText xml:space="preserve"> ADDIN ZOTERO_ITEM CSL_CITATION {"citationID":"tTpYC0rW","properties":{"formattedCitation":"(World Bank, 2018)","plainCitation":"(World Bank, 2018)","noteIndex":0},"citationItems":[{"id":958,"uris":["http://zotero.org/groups/5125234/items/XFB6LRYK"],"itemData":{"id":958,"type":"book","abstract":"The Poverty and Shared Prosperity series provides a global audience with the latest and most accurate estimates on trends in global poverty and shared prosperity.","event-place":"Washington, DC","publisher":"World Bank","publisher-place":"Washington, DC","title":"Poverty and Shared Prosperity 2018: Piecing Together the Poverty Puzzle","URL":"https://www.worldbank.org/en/publication/poverty-and-shared-prosperity-2018","author":[{"family":"World Bank","given":""}],"issued":{"date-parts":[["2018"]]}}}],"schema":"https://github.com/citation-style-language/schema/raw/master/csl-citation.json"} </w:instrText>
      </w:r>
      <w:r w:rsidR="003B7BB7">
        <w:rPr>
          <w:rFonts w:ascii="Open Sans" w:hAnsi="Open Sans" w:cs="Open Sans"/>
          <w:sz w:val="20"/>
          <w:szCs w:val="20"/>
        </w:rPr>
        <w:fldChar w:fldCharType="separate"/>
      </w:r>
      <w:r w:rsidR="003B7BB7" w:rsidRPr="000F398E">
        <w:rPr>
          <w:rFonts w:ascii="Open Sans" w:hAnsi="Open Sans" w:cs="Open Sans"/>
          <w:sz w:val="20"/>
        </w:rPr>
        <w:t>(World Bank, 2018)</w:t>
      </w:r>
      <w:r w:rsidR="003B7BB7">
        <w:rPr>
          <w:rFonts w:ascii="Open Sans" w:hAnsi="Open Sans" w:cs="Open Sans"/>
          <w:sz w:val="20"/>
          <w:szCs w:val="20"/>
        </w:rPr>
        <w:fldChar w:fldCharType="end"/>
      </w:r>
      <w:r w:rsidR="00A36B98" w:rsidRPr="002513DE">
        <w:rPr>
          <w:rFonts w:ascii="Open Sans" w:hAnsi="Open Sans" w:cs="Open Sans"/>
          <w:sz w:val="20"/>
          <w:szCs w:val="20"/>
        </w:rPr>
        <w:t xml:space="preserve">. </w:t>
      </w:r>
    </w:p>
    <w:p w14:paraId="05C2F8AB" w14:textId="47079E1F" w:rsidR="00DE2B25" w:rsidRPr="00DE2B25" w:rsidRDefault="00E90F7D" w:rsidP="00077757">
      <w:pPr>
        <w:spacing w:line="240" w:lineRule="auto"/>
        <w:jc w:val="both"/>
        <w:rPr>
          <w:rFonts w:ascii="Open Sans" w:hAnsi="Open Sans" w:cs="Open Sans"/>
          <w:sz w:val="20"/>
          <w:szCs w:val="20"/>
        </w:rPr>
      </w:pPr>
      <w:r w:rsidRPr="002513DE">
        <w:rPr>
          <w:rFonts w:ascii="Open Sans" w:hAnsi="Open Sans" w:cs="Open Sans"/>
          <w:sz w:val="20"/>
          <w:szCs w:val="20"/>
        </w:rPr>
        <w:t>The i</w:t>
      </w:r>
      <w:r w:rsidR="006A3B16" w:rsidRPr="002513DE">
        <w:rPr>
          <w:rFonts w:ascii="Open Sans" w:hAnsi="Open Sans" w:cs="Open Sans"/>
          <w:sz w:val="20"/>
          <w:szCs w:val="20"/>
        </w:rPr>
        <w:t>nclusion of the planet indicators</w:t>
      </w:r>
      <w:r w:rsidR="00E14764" w:rsidRPr="002513DE">
        <w:rPr>
          <w:rFonts w:ascii="Open Sans" w:hAnsi="Open Sans" w:cs="Open Sans"/>
          <w:sz w:val="20"/>
          <w:szCs w:val="20"/>
        </w:rPr>
        <w:t xml:space="preserve"> (see table 1</w:t>
      </w:r>
      <w:r w:rsidR="00564CB3">
        <w:rPr>
          <w:rFonts w:ascii="Open Sans" w:hAnsi="Open Sans" w:cs="Open Sans"/>
          <w:sz w:val="20"/>
          <w:szCs w:val="20"/>
        </w:rPr>
        <w:t xml:space="preserve">) </w:t>
      </w:r>
      <w:r w:rsidR="006A3B16" w:rsidRPr="002513DE" w:rsidDel="00564CB3">
        <w:rPr>
          <w:rFonts w:ascii="Open Sans" w:hAnsi="Open Sans" w:cs="Open Sans"/>
          <w:sz w:val="20"/>
          <w:szCs w:val="20"/>
        </w:rPr>
        <w:t xml:space="preserve">brings </w:t>
      </w:r>
      <w:r w:rsidR="006A3B16" w:rsidRPr="002513DE">
        <w:rPr>
          <w:rFonts w:ascii="Open Sans" w:hAnsi="Open Sans" w:cs="Open Sans"/>
          <w:sz w:val="20"/>
          <w:szCs w:val="20"/>
        </w:rPr>
        <w:t xml:space="preserve">more explicit recognition of these non-monetary dimensions. </w:t>
      </w:r>
      <w:r w:rsidR="00DE2B25" w:rsidRPr="00DE2B25">
        <w:rPr>
          <w:rFonts w:ascii="Open Sans" w:hAnsi="Open Sans" w:cs="Open Sans"/>
          <w:sz w:val="20"/>
          <w:szCs w:val="20"/>
        </w:rPr>
        <w:t xml:space="preserve">One of the key additions to the World Bank’s new vision is the inclusion of food and nutrition </w:t>
      </w:r>
      <w:r w:rsidR="00EE0831">
        <w:rPr>
          <w:rFonts w:ascii="Open Sans" w:hAnsi="Open Sans" w:cs="Open Sans"/>
          <w:sz w:val="20"/>
          <w:szCs w:val="20"/>
        </w:rPr>
        <w:t>security</w:t>
      </w:r>
      <w:r w:rsidR="00DE2B25" w:rsidRPr="00DE2B25">
        <w:rPr>
          <w:rFonts w:ascii="Open Sans" w:hAnsi="Open Sans" w:cs="Open Sans"/>
          <w:sz w:val="20"/>
          <w:szCs w:val="20"/>
        </w:rPr>
        <w:t xml:space="preserve">. Furthermore, the new Global Scorecard proposes to measure </w:t>
      </w:r>
      <w:r w:rsidR="003D6FFF">
        <w:rPr>
          <w:rFonts w:ascii="Open Sans" w:hAnsi="Open Sans" w:cs="Open Sans"/>
          <w:sz w:val="20"/>
          <w:szCs w:val="20"/>
        </w:rPr>
        <w:t>food and nutrition security</w:t>
      </w:r>
      <w:r w:rsidR="00DE2B25" w:rsidRPr="00DE2B25">
        <w:rPr>
          <w:rFonts w:ascii="Open Sans" w:hAnsi="Open Sans" w:cs="Open Sans"/>
          <w:sz w:val="20"/>
          <w:szCs w:val="20"/>
        </w:rPr>
        <w:t xml:space="preserve"> using the Food Insecurity Experience Scale (FIES), and further highlights another critical food security outcome- share of children under five that are stunted- as another key indicator to be tracked by the World Bank.  Here, we briefly describe the complexity of the concept of food and nutrition security, how the approach proposed in the Global Scorecard might align with best measurement practices, and ongoing efforts to improve global measurement.  </w:t>
      </w:r>
    </w:p>
    <w:p w14:paraId="23CA6BC0" w14:textId="6889B147"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 xml:space="preserve">The </w:t>
      </w:r>
      <w:proofErr w:type="gramStart"/>
      <w:r w:rsidRPr="00DE2B25">
        <w:rPr>
          <w:rFonts w:ascii="Open Sans" w:hAnsi="Open Sans" w:cs="Open Sans"/>
          <w:sz w:val="20"/>
          <w:szCs w:val="20"/>
        </w:rPr>
        <w:t>most commonly used</w:t>
      </w:r>
      <w:proofErr w:type="gramEnd"/>
      <w:r w:rsidRPr="00DE2B25">
        <w:rPr>
          <w:rFonts w:ascii="Open Sans" w:hAnsi="Open Sans" w:cs="Open Sans"/>
          <w:sz w:val="20"/>
          <w:szCs w:val="20"/>
        </w:rPr>
        <w:t xml:space="preserve"> definition of food security was agreed upon by stakeholders at the 1996 World Food Summit, with the original </w:t>
      </w:r>
      <w:r w:rsidRPr="0049151A">
        <w:rPr>
          <w:rFonts w:ascii="Open Sans" w:hAnsi="Open Sans" w:cs="Open Sans"/>
          <w:sz w:val="20"/>
          <w:szCs w:val="20"/>
        </w:rPr>
        <w:t xml:space="preserve">formulation stating that food security is </w:t>
      </w:r>
      <w:r w:rsidRPr="00077757">
        <w:rPr>
          <w:rFonts w:ascii="Open Sans" w:hAnsi="Open Sans" w:cs="Open Sans"/>
          <w:sz w:val="20"/>
          <w:szCs w:val="20"/>
          <w:shd w:val="clear" w:color="auto" w:fill="FFFFFF"/>
        </w:rPr>
        <w:t>“a situation that exists when all people, at all times, have physical, social and economic access to sufficient, safe and nutritious food that meets their dietary needs and food preferences for an active and healthy life.”</w:t>
      </w:r>
      <w:r w:rsidRPr="0049151A">
        <w:rPr>
          <w:rFonts w:ascii="Open Sans" w:hAnsi="Open Sans" w:cs="Open Sans"/>
          <w:sz w:val="20"/>
          <w:szCs w:val="20"/>
        </w:rPr>
        <w:t xml:space="preserve">  In </w:t>
      </w:r>
      <w:r w:rsidRPr="00DE2B25">
        <w:rPr>
          <w:rFonts w:ascii="Open Sans" w:hAnsi="Open Sans" w:cs="Open Sans"/>
          <w:sz w:val="20"/>
          <w:szCs w:val="20"/>
        </w:rPr>
        <w:t xml:space="preserve">practice, food security is described through four dimensions- </w:t>
      </w:r>
      <w:r w:rsidR="00312420">
        <w:rPr>
          <w:rFonts w:ascii="Open Sans" w:hAnsi="Open Sans" w:cs="Open Sans"/>
          <w:sz w:val="20"/>
          <w:szCs w:val="20"/>
        </w:rPr>
        <w:t xml:space="preserve">(a) </w:t>
      </w:r>
      <w:r w:rsidRPr="00DE2B25">
        <w:rPr>
          <w:rFonts w:ascii="Open Sans" w:hAnsi="Open Sans" w:cs="Open Sans"/>
          <w:sz w:val="20"/>
          <w:szCs w:val="20"/>
        </w:rPr>
        <w:t xml:space="preserve">food availability or the existence of enough food for people to eat, </w:t>
      </w:r>
      <w:r w:rsidR="00992AD1">
        <w:rPr>
          <w:rFonts w:ascii="Open Sans" w:hAnsi="Open Sans" w:cs="Open Sans"/>
          <w:sz w:val="20"/>
          <w:szCs w:val="20"/>
        </w:rPr>
        <w:t xml:space="preserve">(b) </w:t>
      </w:r>
      <w:r w:rsidRPr="00DE2B25">
        <w:rPr>
          <w:rFonts w:ascii="Open Sans" w:hAnsi="Open Sans" w:cs="Open Sans"/>
          <w:sz w:val="20"/>
          <w:szCs w:val="20"/>
        </w:rPr>
        <w:t xml:space="preserve">food access or the ability of individuals to financially afford and physically access food that is available to eat, </w:t>
      </w:r>
      <w:r w:rsidR="00992AD1">
        <w:rPr>
          <w:rFonts w:ascii="Open Sans" w:hAnsi="Open Sans" w:cs="Open Sans"/>
          <w:sz w:val="20"/>
          <w:szCs w:val="20"/>
        </w:rPr>
        <w:t xml:space="preserve">(c) </w:t>
      </w:r>
      <w:r w:rsidRPr="00DE2B25">
        <w:rPr>
          <w:rFonts w:ascii="Open Sans" w:hAnsi="Open Sans" w:cs="Open Sans"/>
          <w:sz w:val="20"/>
          <w:szCs w:val="20"/>
        </w:rPr>
        <w:t xml:space="preserve">food utilization or the ability of individuals to properly absorb the micro- and macro-nutrients in the foods that they eat, and </w:t>
      </w:r>
      <w:r w:rsidR="00992AD1">
        <w:rPr>
          <w:rFonts w:ascii="Open Sans" w:hAnsi="Open Sans" w:cs="Open Sans"/>
          <w:sz w:val="20"/>
          <w:szCs w:val="20"/>
        </w:rPr>
        <w:t xml:space="preserve">(d) </w:t>
      </w:r>
      <w:r w:rsidRPr="00DE2B25">
        <w:rPr>
          <w:rFonts w:ascii="Open Sans" w:hAnsi="Open Sans" w:cs="Open Sans"/>
          <w:sz w:val="20"/>
          <w:szCs w:val="20"/>
        </w:rPr>
        <w:t>stability or individuals being food secure in all dimensions at all times (e.g., Barrett 2010).</w:t>
      </w:r>
    </w:p>
    <w:p w14:paraId="27945DFF"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01E6D0CA" w14:textId="5E4AD195"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Each of the dimensions of food security are hierarchical in the order listed above, where adequacy in a food security dimension requires adequacy in the previous dimension. For example, adequate food availability is necessary, but not sufficient, for adequate food access. And the chain continues all the way through food stability. Furthermore, each dimension of food security is itself multidimensional.  For example, food access includes both the consumption of an adequate number of calories and a sufficient quality of food consumed (e.g., Barrett 2010).</w:t>
      </w:r>
    </w:p>
    <w:p w14:paraId="0EE47DFF"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6EC26459" w14:textId="34900BC5"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 xml:space="preserve">As described above, the food security outcomes tracked in the Global Scorecard- the FIES and the share under five that are stunted- correspond to measures of food access and food utilization, respectively. Although important indicators, it is very difficult to properly measure and </w:t>
      </w:r>
      <w:r w:rsidR="00523306">
        <w:rPr>
          <w:rFonts w:ascii="Open Sans" w:hAnsi="Open Sans" w:cs="Open Sans"/>
          <w:sz w:val="20"/>
          <w:szCs w:val="20"/>
        </w:rPr>
        <w:t>de</w:t>
      </w:r>
      <w:r w:rsidRPr="00DE2B25">
        <w:rPr>
          <w:rFonts w:ascii="Open Sans" w:hAnsi="Open Sans" w:cs="Open Sans"/>
          <w:sz w:val="20"/>
          <w:szCs w:val="20"/>
        </w:rPr>
        <w:t xml:space="preserve">scribe changes in food and nutrition security with two indicators given the four separate dimensions of food </w:t>
      </w:r>
      <w:r w:rsidRPr="00DE2B25">
        <w:rPr>
          <w:rFonts w:ascii="Open Sans" w:hAnsi="Open Sans" w:cs="Open Sans"/>
          <w:sz w:val="20"/>
          <w:szCs w:val="20"/>
        </w:rPr>
        <w:lastRenderedPageBreak/>
        <w:t>and nutrition security and the multidimensionality of each dimension. But beyond the multidimensionality, the food access dimensions are particularly difficult to measure precisely, and there is a significant amount of measurement error in any single measure</w:t>
      </w:r>
      <w:r w:rsidR="004B54A5">
        <w:rPr>
          <w:rFonts w:ascii="Open Sans" w:hAnsi="Open Sans" w:cs="Open Sans"/>
          <w:sz w:val="20"/>
          <w:szCs w:val="20"/>
        </w:rPr>
        <w:t xml:space="preserve">, such that </w:t>
      </w:r>
      <w:r w:rsidRPr="00DE2B25">
        <w:rPr>
          <w:rFonts w:ascii="Open Sans" w:hAnsi="Open Sans" w:cs="Open Sans"/>
          <w:sz w:val="20"/>
          <w:szCs w:val="20"/>
        </w:rPr>
        <w:t xml:space="preserve">it </w:t>
      </w:r>
      <w:r w:rsidR="004B54A5">
        <w:rPr>
          <w:rFonts w:ascii="Open Sans" w:hAnsi="Open Sans" w:cs="Open Sans"/>
          <w:sz w:val="20"/>
          <w:szCs w:val="20"/>
        </w:rPr>
        <w:t xml:space="preserve">becomes </w:t>
      </w:r>
      <w:r w:rsidRPr="00DE2B25">
        <w:rPr>
          <w:rFonts w:ascii="Open Sans" w:hAnsi="Open Sans" w:cs="Open Sans"/>
          <w:sz w:val="20"/>
          <w:szCs w:val="20"/>
        </w:rPr>
        <w:t>difficult for a single food access measure to accurately capture the concept.</w:t>
      </w:r>
    </w:p>
    <w:p w14:paraId="32908A77"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6E1CD2DE" w14:textId="25B22A85"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 xml:space="preserve">There are two separate sources of measurement error introduced in the measurement of food access.  First, it is difficult to precisely measure the calorie and nutritional content of all food consumption.  Although there are several ways to estimate these figures, the methods </w:t>
      </w:r>
      <w:r w:rsidR="00CA12E2">
        <w:rPr>
          <w:rFonts w:ascii="Open Sans" w:hAnsi="Open Sans" w:cs="Open Sans"/>
          <w:sz w:val="20"/>
          <w:szCs w:val="20"/>
        </w:rPr>
        <w:t>that</w:t>
      </w:r>
      <w:r w:rsidRPr="00DE2B25">
        <w:rPr>
          <w:rFonts w:ascii="Open Sans" w:hAnsi="Open Sans" w:cs="Open Sans"/>
          <w:sz w:val="20"/>
          <w:szCs w:val="20"/>
        </w:rPr>
        <w:t xml:space="preserve"> produce the most precise estimates involve individual-level surveys that are complex, expensive, difficult to analyze, and nearly impossible to perform on a large scale (e.g., Gibson 2005; Fiedler et al. 2013; etc.).</w:t>
      </w:r>
      <w:r w:rsidRPr="00C84B69">
        <w:rPr>
          <w:rStyle w:val="FootnoteReference"/>
        </w:rPr>
        <w:footnoteReference w:id="9"/>
      </w:r>
      <w:r w:rsidRPr="00DE2B25">
        <w:rPr>
          <w:rFonts w:ascii="Open Sans" w:hAnsi="Open Sans" w:cs="Open Sans"/>
          <w:sz w:val="20"/>
          <w:szCs w:val="20"/>
        </w:rPr>
        <w:t xml:space="preserve"> </w:t>
      </w:r>
      <w:r w:rsidR="002B4FD5">
        <w:rPr>
          <w:rFonts w:ascii="Open Sans" w:hAnsi="Open Sans" w:cs="Open Sans"/>
          <w:sz w:val="20"/>
          <w:szCs w:val="20"/>
        </w:rPr>
        <w:t>I</w:t>
      </w:r>
      <w:r w:rsidRPr="00DE2B25">
        <w:rPr>
          <w:rFonts w:ascii="Open Sans" w:hAnsi="Open Sans" w:cs="Open Sans"/>
          <w:sz w:val="20"/>
          <w:szCs w:val="20"/>
        </w:rPr>
        <w:t xml:space="preserve">n the absence of these difficult-to-collect and expensive data, researchers often turn to household consumption and expenditure surveys (HCES's) to measure the quantity and quality of foods consumed (e.g., </w:t>
      </w:r>
      <w:proofErr w:type="spellStart"/>
      <w:r w:rsidRPr="00DE2B25">
        <w:rPr>
          <w:rFonts w:ascii="Open Sans" w:hAnsi="Open Sans" w:cs="Open Sans"/>
          <w:sz w:val="20"/>
          <w:szCs w:val="20"/>
        </w:rPr>
        <w:t>Wiesmann</w:t>
      </w:r>
      <w:proofErr w:type="spellEnd"/>
      <w:r w:rsidRPr="00DE2B25">
        <w:rPr>
          <w:rFonts w:ascii="Open Sans" w:hAnsi="Open Sans" w:cs="Open Sans"/>
          <w:sz w:val="20"/>
          <w:szCs w:val="20"/>
        </w:rPr>
        <w:t xml:space="preserve"> et al. 2009; etc.). </w:t>
      </w:r>
    </w:p>
    <w:p w14:paraId="62D26E1B"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3DD6EB88" w14:textId="47F89B96"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However, estimates from HCES's are subject to a substantial amount of measurement error. For example, there is a wide range of macro- and micro-nutrients contained in nearly all individual food items captured in a typical HCES and it is difficult to assign the caloric and nutritional content of each food item consumed (e.g., USDA 2019)</w:t>
      </w:r>
      <w:r w:rsidR="00A21CE9">
        <w:rPr>
          <w:rFonts w:ascii="Open Sans" w:hAnsi="Open Sans" w:cs="Open Sans"/>
          <w:sz w:val="20"/>
          <w:szCs w:val="20"/>
        </w:rPr>
        <w:t>. I</w:t>
      </w:r>
      <w:r w:rsidRPr="00DE2B25">
        <w:rPr>
          <w:rFonts w:ascii="Open Sans" w:hAnsi="Open Sans" w:cs="Open Sans"/>
          <w:sz w:val="20"/>
          <w:szCs w:val="20"/>
        </w:rPr>
        <w:t xml:space="preserve">t is also difficult to identify the nutritional content of many processed foods and food consumed outside of the household that are becoming important increasingly to modern diets (e.g., Deaton and Subramanian 1996).  These issues compound other traditional sources of measurement error that affect the measurement of expenditure in HCES's, such as recall biases, impacts of different questionnaire formats, and a wide variety of other concerns (e.g., Beegle et al. 2012; etc.). The variance on estimates of the quantity and quality of food consumption are therefore large and are potentially increasing over time as households consume more processed foods and meals outside of the household (e.g., Tandon and </w:t>
      </w:r>
      <w:proofErr w:type="spellStart"/>
      <w:r w:rsidRPr="00DE2B25">
        <w:rPr>
          <w:rFonts w:ascii="Open Sans" w:hAnsi="Open Sans" w:cs="Open Sans"/>
          <w:sz w:val="20"/>
          <w:szCs w:val="20"/>
        </w:rPr>
        <w:t>Landes</w:t>
      </w:r>
      <w:proofErr w:type="spellEnd"/>
      <w:r w:rsidRPr="00DE2B25">
        <w:rPr>
          <w:rFonts w:ascii="Open Sans" w:hAnsi="Open Sans" w:cs="Open Sans"/>
          <w:sz w:val="20"/>
          <w:szCs w:val="20"/>
        </w:rPr>
        <w:t xml:space="preserve"> 2011; Tandon and </w:t>
      </w:r>
      <w:proofErr w:type="spellStart"/>
      <w:r w:rsidRPr="00DE2B25">
        <w:rPr>
          <w:rFonts w:ascii="Open Sans" w:hAnsi="Open Sans" w:cs="Open Sans"/>
          <w:sz w:val="20"/>
          <w:szCs w:val="20"/>
        </w:rPr>
        <w:t>Landes</w:t>
      </w:r>
      <w:proofErr w:type="spellEnd"/>
      <w:r w:rsidRPr="00DE2B25">
        <w:rPr>
          <w:rFonts w:ascii="Open Sans" w:hAnsi="Open Sans" w:cs="Open Sans"/>
          <w:sz w:val="20"/>
          <w:szCs w:val="20"/>
        </w:rPr>
        <w:t xml:space="preserve"> 2014). </w:t>
      </w:r>
    </w:p>
    <w:p w14:paraId="7916A58E"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74DA4107" w14:textId="691E6D7E" w:rsidR="00DE2B25" w:rsidRPr="00DE2B25" w:rsidRDefault="00407E0D" w:rsidP="00DE2B25">
      <w:pPr>
        <w:pStyle w:val="NormalWeb"/>
        <w:spacing w:before="0" w:beforeAutospacing="0" w:after="0" w:afterAutospacing="0"/>
        <w:jc w:val="both"/>
        <w:rPr>
          <w:rFonts w:ascii="Open Sans" w:hAnsi="Open Sans" w:cs="Open Sans"/>
          <w:sz w:val="20"/>
          <w:szCs w:val="20"/>
        </w:rPr>
      </w:pPr>
      <w:r>
        <w:rPr>
          <w:rFonts w:ascii="Open Sans" w:hAnsi="Open Sans" w:cs="Open Sans"/>
          <w:sz w:val="20"/>
          <w:szCs w:val="20"/>
        </w:rPr>
        <w:t>I</w:t>
      </w:r>
      <w:r w:rsidR="00DE2B25" w:rsidRPr="00DE2B25">
        <w:rPr>
          <w:rFonts w:ascii="Open Sans" w:hAnsi="Open Sans" w:cs="Open Sans"/>
          <w:sz w:val="20"/>
          <w:szCs w:val="20"/>
        </w:rPr>
        <w:t xml:space="preserve">n addition to the difficulty of measuring the nutritional content of food consumption, the second source of measurement error in measuring food access is driven by the fact that many of the dietary needs of individuals are unobservable and based on individual choices and activities (e.g., Institute of Medicine of the National Academies 2006).  Although many studies make assumptions regarding caloric needs of individuals based on their age, sex, and assumed activity level (e.g., FAO 2023; etc.), such uncertainties further add to the extensive measurement error in food access metrics. </w:t>
      </w:r>
    </w:p>
    <w:p w14:paraId="73FDA0E7"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6412A564"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 xml:space="preserve">Given these difficulties and the need to obtain estimates of food access in real time and in data-poor environments, practitioners and researchers have increasingly relied on metrics that are relatively easy to implement while also approximating the degree of food access in its many dimensions (e.g., </w:t>
      </w:r>
      <w:proofErr w:type="spellStart"/>
      <w:r w:rsidRPr="00DE2B25">
        <w:rPr>
          <w:rFonts w:ascii="Open Sans" w:hAnsi="Open Sans" w:cs="Open Sans"/>
          <w:sz w:val="20"/>
          <w:szCs w:val="20"/>
        </w:rPr>
        <w:t>Swindale</w:t>
      </w:r>
      <w:proofErr w:type="spellEnd"/>
      <w:r w:rsidRPr="00DE2B25">
        <w:rPr>
          <w:rFonts w:ascii="Open Sans" w:hAnsi="Open Sans" w:cs="Open Sans"/>
          <w:sz w:val="20"/>
          <w:szCs w:val="20"/>
        </w:rPr>
        <w:t xml:space="preserve"> and </w:t>
      </w:r>
      <w:proofErr w:type="spellStart"/>
      <w:r w:rsidRPr="00DE2B25">
        <w:rPr>
          <w:rFonts w:ascii="Open Sans" w:hAnsi="Open Sans" w:cs="Open Sans"/>
          <w:sz w:val="20"/>
          <w:szCs w:val="20"/>
        </w:rPr>
        <w:t>Billinsky</w:t>
      </w:r>
      <w:proofErr w:type="spellEnd"/>
      <w:r w:rsidRPr="00DE2B25">
        <w:rPr>
          <w:rFonts w:ascii="Open Sans" w:hAnsi="Open Sans" w:cs="Open Sans"/>
          <w:sz w:val="20"/>
          <w:szCs w:val="20"/>
        </w:rPr>
        <w:t xml:space="preserve"> 2006; WFP 2009; Maxwell and Caldwell 2008; etc.). Two common approaches include (1) measuring dietary diversity and the frequency with which individuals and households consume certain food groups, such as the Food Consumption Score and the Household Dietary Diversity Score (e.g., </w:t>
      </w:r>
      <w:proofErr w:type="spellStart"/>
      <w:r w:rsidRPr="00DE2B25">
        <w:rPr>
          <w:rFonts w:ascii="Open Sans" w:hAnsi="Open Sans" w:cs="Open Sans"/>
          <w:sz w:val="20"/>
          <w:szCs w:val="20"/>
        </w:rPr>
        <w:t>Swindale</w:t>
      </w:r>
      <w:proofErr w:type="spellEnd"/>
      <w:r w:rsidRPr="00DE2B25">
        <w:rPr>
          <w:rFonts w:ascii="Open Sans" w:hAnsi="Open Sans" w:cs="Open Sans"/>
          <w:sz w:val="20"/>
          <w:szCs w:val="20"/>
        </w:rPr>
        <w:t xml:space="preserve"> and </w:t>
      </w:r>
      <w:proofErr w:type="spellStart"/>
      <w:r w:rsidRPr="00DE2B25">
        <w:rPr>
          <w:rFonts w:ascii="Open Sans" w:hAnsi="Open Sans" w:cs="Open Sans"/>
          <w:sz w:val="20"/>
          <w:szCs w:val="20"/>
        </w:rPr>
        <w:t>Billinsky</w:t>
      </w:r>
      <w:proofErr w:type="spellEnd"/>
      <w:r w:rsidRPr="00DE2B25">
        <w:rPr>
          <w:rFonts w:ascii="Open Sans" w:hAnsi="Open Sans" w:cs="Open Sans"/>
          <w:sz w:val="20"/>
          <w:szCs w:val="20"/>
        </w:rPr>
        <w:t xml:space="preserve"> 2006; WFP 2009); and (2) measuring food coping strategies often associated with consuming too little or consuming a poor quality diet, such as the Coping Strategies Index and the Reduced Coping Strategies Index (e.g., Maxwell and Caldwell 2008). </w:t>
      </w:r>
    </w:p>
    <w:p w14:paraId="3A5FE7B0"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0C48162B"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 xml:space="preserve">However, others have argued that additional psychological aspects related to food access should be captured in standard metrics (e.g., Webb et al. 2006; etc.). An additional set of experiential measures </w:t>
      </w:r>
      <w:r w:rsidRPr="00DE2B25">
        <w:rPr>
          <w:rFonts w:ascii="Open Sans" w:hAnsi="Open Sans" w:cs="Open Sans"/>
          <w:sz w:val="20"/>
          <w:szCs w:val="20"/>
        </w:rPr>
        <w:lastRenderedPageBreak/>
        <w:t>of food access, such as the Food Insecurity Experience Scale, the Latin America and Caribbean Food Security Scale, and the Household Food Insecurity Access Scale, extend food access measurement to these dimensions by asking about food coping strategies and anxiety over insufficient food access (</w:t>
      </w:r>
      <w:proofErr w:type="spellStart"/>
      <w:r w:rsidRPr="00DE2B25">
        <w:rPr>
          <w:rFonts w:ascii="Open Sans" w:hAnsi="Open Sans" w:cs="Open Sans"/>
          <w:sz w:val="20"/>
          <w:szCs w:val="20"/>
        </w:rPr>
        <w:t>e.g</w:t>
      </w:r>
      <w:proofErr w:type="spellEnd"/>
      <w:r w:rsidRPr="00DE2B25">
        <w:rPr>
          <w:rFonts w:ascii="Open Sans" w:hAnsi="Open Sans" w:cs="Open Sans"/>
          <w:sz w:val="20"/>
          <w:szCs w:val="20"/>
        </w:rPr>
        <w:t xml:space="preserve">, Maxwell et al. 2014). However, there are significant additional challenges to incorporating anxiety regarding poor food access and other subjective measures. </w:t>
      </w:r>
      <w:proofErr w:type="gramStart"/>
      <w:r w:rsidRPr="00DE2B25">
        <w:rPr>
          <w:rFonts w:ascii="Open Sans" w:hAnsi="Open Sans" w:cs="Open Sans"/>
          <w:sz w:val="20"/>
          <w:szCs w:val="20"/>
        </w:rPr>
        <w:t>In particular, answers</w:t>
      </w:r>
      <w:proofErr w:type="gramEnd"/>
      <w:r w:rsidRPr="00DE2B25">
        <w:rPr>
          <w:rFonts w:ascii="Open Sans" w:hAnsi="Open Sans" w:cs="Open Sans"/>
          <w:sz w:val="20"/>
          <w:szCs w:val="20"/>
        </w:rPr>
        <w:t xml:space="preserve"> to subjective welfare questions depend on respondent-specific scales that: (1) may not be comparable across individuals or stable over time; (2) are potentially subject to frame-of-reference effects; and (3) suffer from measurement errors, over and above those affecting traditional welfare metrics (e.g., </w:t>
      </w:r>
      <w:proofErr w:type="spellStart"/>
      <w:r w:rsidRPr="00DE2B25">
        <w:rPr>
          <w:rFonts w:ascii="Open Sans" w:hAnsi="Open Sans" w:cs="Open Sans"/>
          <w:sz w:val="20"/>
          <w:szCs w:val="20"/>
        </w:rPr>
        <w:t>Ravallion</w:t>
      </w:r>
      <w:proofErr w:type="spellEnd"/>
      <w:r w:rsidRPr="00DE2B25">
        <w:rPr>
          <w:rFonts w:ascii="Open Sans" w:hAnsi="Open Sans" w:cs="Open Sans"/>
          <w:sz w:val="20"/>
          <w:szCs w:val="20"/>
        </w:rPr>
        <w:t xml:space="preserve"> 2013; Benjamin et al. 2023; Tandon 2024; etc.).</w:t>
      </w:r>
    </w:p>
    <w:p w14:paraId="4487312F"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1176AF72" w14:textId="7C49334A"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Given the</w:t>
      </w:r>
      <w:r w:rsidR="00287939">
        <w:rPr>
          <w:rFonts w:ascii="Open Sans" w:hAnsi="Open Sans" w:cs="Open Sans"/>
          <w:sz w:val="20"/>
          <w:szCs w:val="20"/>
        </w:rPr>
        <w:t>se</w:t>
      </w:r>
      <w:r w:rsidRPr="00DE2B25">
        <w:rPr>
          <w:rFonts w:ascii="Open Sans" w:hAnsi="Open Sans" w:cs="Open Sans"/>
          <w:sz w:val="20"/>
          <w:szCs w:val="20"/>
        </w:rPr>
        <w:t xml:space="preserve"> difficult</w:t>
      </w:r>
      <w:r w:rsidR="00287939">
        <w:rPr>
          <w:rFonts w:ascii="Open Sans" w:hAnsi="Open Sans" w:cs="Open Sans"/>
          <w:sz w:val="20"/>
          <w:szCs w:val="20"/>
        </w:rPr>
        <w:t>ies</w:t>
      </w:r>
      <w:r w:rsidRPr="00DE2B25">
        <w:rPr>
          <w:rFonts w:ascii="Open Sans" w:hAnsi="Open Sans" w:cs="Open Sans"/>
          <w:sz w:val="20"/>
          <w:szCs w:val="20"/>
        </w:rPr>
        <w:t xml:space="preserve">, there is a growing literature illustrating that many of the food access metrics described above do not overlap when collected from the same household (e.g., Maxwell et al. 2014; Broussard and Tandon 2016; etc.).  Because of these factors, it is often recommended that food access is captured using more than a single measure and that improvement in food access should be validated across each broad category of food access metrics, using at least one dietary diversity-based indicator and at least one coping-strategy-based indicator (e.g., </w:t>
      </w:r>
      <w:proofErr w:type="spellStart"/>
      <w:r w:rsidRPr="00DE2B25">
        <w:rPr>
          <w:rFonts w:ascii="Open Sans" w:hAnsi="Open Sans" w:cs="Open Sans"/>
          <w:sz w:val="20"/>
          <w:szCs w:val="20"/>
        </w:rPr>
        <w:t>Vaitla</w:t>
      </w:r>
      <w:proofErr w:type="spellEnd"/>
      <w:r w:rsidRPr="00DE2B25">
        <w:rPr>
          <w:rFonts w:ascii="Open Sans" w:hAnsi="Open Sans" w:cs="Open Sans"/>
          <w:sz w:val="20"/>
          <w:szCs w:val="20"/>
        </w:rPr>
        <w:t xml:space="preserve"> et al. 2017; IPC 2023; etc.).  </w:t>
      </w:r>
    </w:p>
    <w:p w14:paraId="113553F3"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45E25935" w14:textId="34E17227"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 xml:space="preserve">Recent research further illustrated the difficulty in interpreting estimates of food access that use the FIES alone.  Using evidence from 10 West African countries, </w:t>
      </w:r>
      <w:proofErr w:type="gramStart"/>
      <w:r w:rsidRPr="00DE2B25">
        <w:rPr>
          <w:rFonts w:ascii="Open Sans" w:hAnsi="Open Sans" w:cs="Open Sans"/>
          <w:sz w:val="20"/>
          <w:szCs w:val="20"/>
        </w:rPr>
        <w:t>Lain</w:t>
      </w:r>
      <w:proofErr w:type="gramEnd"/>
      <w:r w:rsidRPr="00DE2B25">
        <w:rPr>
          <w:rFonts w:ascii="Open Sans" w:hAnsi="Open Sans" w:cs="Open Sans"/>
          <w:sz w:val="20"/>
          <w:szCs w:val="20"/>
        </w:rPr>
        <w:t xml:space="preserve"> et al. (2024) illustrate that there is a similar prevalence of food insecurity according to the FIES amongst segments of the population that are likely undernourished and segments that are likely not undernourished in four out of 10 countries</w:t>
      </w:r>
      <w:r w:rsidR="00E04C48">
        <w:rPr>
          <w:rFonts w:ascii="Open Sans" w:hAnsi="Open Sans" w:cs="Open Sans"/>
          <w:sz w:val="20"/>
          <w:szCs w:val="20"/>
        </w:rPr>
        <w:t>. Furthermore, the authors found</w:t>
      </w:r>
      <w:r w:rsidRPr="00DE2B25">
        <w:rPr>
          <w:rFonts w:ascii="Open Sans" w:hAnsi="Open Sans" w:cs="Open Sans"/>
          <w:sz w:val="20"/>
          <w:szCs w:val="20"/>
        </w:rPr>
        <w:t xml:space="preserve"> that there is a relatively large prevalence of food insecurity according to the FIES in the segments of the population that is least likely to be undernourished in five out of the 10 countries.  Although the work cannot identify exactly why these differences exist between the FIES and other food access metrics in several countries, one possibility highlighted is the difficulty interpreting subjective questions on food access that are a significant component of the measure.   </w:t>
      </w:r>
    </w:p>
    <w:p w14:paraId="17852E7B"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6B54F18F" w14:textId="47E50B26"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Although best practices suggest utilizing multiple food access metrics at the household level to validate changes in food access, the FIES is the only household-level indicator that is currently available globally.  The only other indicator available is the Prevalence of Undernourishment (</w:t>
      </w:r>
      <w:proofErr w:type="spellStart"/>
      <w:r w:rsidRPr="00DE2B25">
        <w:rPr>
          <w:rFonts w:ascii="Open Sans" w:hAnsi="Open Sans" w:cs="Open Sans"/>
          <w:sz w:val="20"/>
          <w:szCs w:val="20"/>
        </w:rPr>
        <w:t>PoU</w:t>
      </w:r>
      <w:proofErr w:type="spellEnd"/>
      <w:r w:rsidRPr="00DE2B25">
        <w:rPr>
          <w:rFonts w:ascii="Open Sans" w:hAnsi="Open Sans" w:cs="Open Sans"/>
          <w:sz w:val="20"/>
          <w:szCs w:val="20"/>
        </w:rPr>
        <w:t xml:space="preserve">), which is calculated from a combination of national accounts data, food balance sheets, and household surveys (e.g., FAO 2023).  Thus, it is important to interpret changes in the FIES cautiously, to interpret those changes along with changes in the </w:t>
      </w:r>
      <w:proofErr w:type="spellStart"/>
      <w:r w:rsidRPr="00DE2B25">
        <w:rPr>
          <w:rFonts w:ascii="Open Sans" w:hAnsi="Open Sans" w:cs="Open Sans"/>
          <w:sz w:val="20"/>
          <w:szCs w:val="20"/>
        </w:rPr>
        <w:t>PoU</w:t>
      </w:r>
      <w:proofErr w:type="spellEnd"/>
      <w:r w:rsidRPr="00DE2B25">
        <w:rPr>
          <w:rFonts w:ascii="Open Sans" w:hAnsi="Open Sans" w:cs="Open Sans"/>
          <w:sz w:val="20"/>
          <w:szCs w:val="20"/>
        </w:rPr>
        <w:t>, and to corroborate changes using closely aligned measures, including extreme poverty (e.g., Lain et al. 2024).</w:t>
      </w:r>
      <w:r w:rsidRPr="00C84B69">
        <w:rPr>
          <w:rStyle w:val="FootnoteReference"/>
        </w:rPr>
        <w:footnoteReference w:id="10"/>
      </w:r>
    </w:p>
    <w:p w14:paraId="34C3E2BA"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59DDC313" w14:textId="38E9877F"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Even at the country level, these challenges of utilizing multiple food access metrics remain.  In a recent stock-taking exercise of the statical system across regions, it was found that there were significant gaps in the types of information available with which to measure progress towards improving food access using official statistics (e.g., Maxwell et al. 2024).  For example, in East Asia and the Pacific region, out of 16 countries covered by World Bank global poverty databases,</w:t>
      </w:r>
      <w:r w:rsidRPr="00C84B69">
        <w:rPr>
          <w:rStyle w:val="FootnoteReference"/>
        </w:rPr>
        <w:footnoteReference w:id="11"/>
      </w:r>
      <w:r w:rsidRPr="00DE2B25">
        <w:rPr>
          <w:rFonts w:ascii="Open Sans" w:hAnsi="Open Sans" w:cs="Open Sans"/>
          <w:sz w:val="20"/>
          <w:szCs w:val="20"/>
        </w:rPr>
        <w:t xml:space="preserve"> only one country collected more than a single food access metric in the most recent household survey from which monetary poverty was estimated.  Furthermore, of these countries, eight collected only the FIES, and six collected no food security information at all (e.g., Maxwell et al. 2024).  Given difficulties in following </w:t>
      </w:r>
      <w:r w:rsidRPr="00DE2B25">
        <w:rPr>
          <w:rFonts w:ascii="Open Sans" w:hAnsi="Open Sans" w:cs="Open Sans"/>
          <w:sz w:val="20"/>
          <w:szCs w:val="20"/>
        </w:rPr>
        <w:lastRenderedPageBreak/>
        <w:t xml:space="preserve">best practices even within individual countries regarding the measurement of changes in food access, the same caveats </w:t>
      </w:r>
      <w:r w:rsidR="006B10F8">
        <w:rPr>
          <w:rFonts w:ascii="Open Sans" w:hAnsi="Open Sans" w:cs="Open Sans"/>
          <w:sz w:val="20"/>
          <w:szCs w:val="20"/>
        </w:rPr>
        <w:t xml:space="preserve">that apply </w:t>
      </w:r>
      <w:r w:rsidRPr="00DE2B25">
        <w:rPr>
          <w:rFonts w:ascii="Open Sans" w:hAnsi="Open Sans" w:cs="Open Sans"/>
          <w:sz w:val="20"/>
          <w:szCs w:val="20"/>
        </w:rPr>
        <w:t xml:space="preserve">at the global level </w:t>
      </w:r>
      <w:r w:rsidR="006B10F8">
        <w:rPr>
          <w:rFonts w:ascii="Open Sans" w:hAnsi="Open Sans" w:cs="Open Sans"/>
          <w:sz w:val="20"/>
          <w:szCs w:val="20"/>
        </w:rPr>
        <w:t xml:space="preserve">also </w:t>
      </w:r>
      <w:r w:rsidRPr="00DE2B25">
        <w:rPr>
          <w:rFonts w:ascii="Open Sans" w:hAnsi="Open Sans" w:cs="Open Sans"/>
          <w:sz w:val="20"/>
          <w:szCs w:val="20"/>
        </w:rPr>
        <w:t xml:space="preserve">apply to </w:t>
      </w:r>
      <w:proofErr w:type="gramStart"/>
      <w:r w:rsidRPr="00DE2B25">
        <w:rPr>
          <w:rFonts w:ascii="Open Sans" w:hAnsi="Open Sans" w:cs="Open Sans"/>
          <w:sz w:val="20"/>
          <w:szCs w:val="20"/>
        </w:rPr>
        <w:t>the vast majority of</w:t>
      </w:r>
      <w:proofErr w:type="gramEnd"/>
      <w:r w:rsidRPr="00DE2B25">
        <w:rPr>
          <w:rFonts w:ascii="Open Sans" w:hAnsi="Open Sans" w:cs="Open Sans"/>
          <w:sz w:val="20"/>
          <w:szCs w:val="20"/>
        </w:rPr>
        <w:t xml:space="preserve"> individual countries.</w:t>
      </w:r>
    </w:p>
    <w:p w14:paraId="2B919103" w14:textId="77777777" w:rsidR="00DE2B25" w:rsidRPr="00DE2B25" w:rsidRDefault="00DE2B25" w:rsidP="00DE2B25">
      <w:pPr>
        <w:pStyle w:val="NormalWeb"/>
        <w:spacing w:before="0" w:beforeAutospacing="0" w:after="0" w:afterAutospacing="0"/>
        <w:jc w:val="both"/>
        <w:rPr>
          <w:rFonts w:ascii="Open Sans" w:hAnsi="Open Sans" w:cs="Open Sans"/>
          <w:sz w:val="20"/>
          <w:szCs w:val="20"/>
        </w:rPr>
      </w:pPr>
    </w:p>
    <w:p w14:paraId="0A74E327" w14:textId="031BDA05" w:rsidR="00DE2B25" w:rsidRPr="00DE2B25" w:rsidRDefault="00DE2B25" w:rsidP="00DE2B25">
      <w:pPr>
        <w:pStyle w:val="NormalWeb"/>
        <w:spacing w:before="0" w:beforeAutospacing="0" w:after="0" w:afterAutospacing="0"/>
        <w:jc w:val="both"/>
        <w:rPr>
          <w:rFonts w:ascii="Open Sans" w:hAnsi="Open Sans" w:cs="Open Sans"/>
          <w:sz w:val="20"/>
          <w:szCs w:val="20"/>
        </w:rPr>
      </w:pPr>
      <w:r w:rsidRPr="00DE2B25">
        <w:rPr>
          <w:rFonts w:ascii="Open Sans" w:hAnsi="Open Sans" w:cs="Open Sans"/>
          <w:sz w:val="20"/>
          <w:szCs w:val="20"/>
        </w:rPr>
        <w:t xml:space="preserve">However, there are efforts </w:t>
      </w:r>
      <w:r w:rsidR="002E5098">
        <w:rPr>
          <w:rFonts w:ascii="Open Sans" w:hAnsi="Open Sans" w:cs="Open Sans"/>
          <w:sz w:val="20"/>
          <w:szCs w:val="20"/>
        </w:rPr>
        <w:t>under way</w:t>
      </w:r>
      <w:r w:rsidRPr="00DE2B25">
        <w:rPr>
          <w:rFonts w:ascii="Open Sans" w:hAnsi="Open Sans" w:cs="Open Sans"/>
          <w:sz w:val="20"/>
          <w:szCs w:val="20"/>
        </w:rPr>
        <w:t xml:space="preserve"> to improve global and country monitoring of food access.  </w:t>
      </w:r>
      <w:proofErr w:type="gramStart"/>
      <w:r w:rsidRPr="00DE2B25">
        <w:rPr>
          <w:rFonts w:ascii="Open Sans" w:hAnsi="Open Sans" w:cs="Open Sans"/>
          <w:sz w:val="20"/>
          <w:szCs w:val="20"/>
        </w:rPr>
        <w:t>In particular, Maxwell</w:t>
      </w:r>
      <w:proofErr w:type="gramEnd"/>
      <w:r w:rsidRPr="00DE2B25">
        <w:rPr>
          <w:rFonts w:ascii="Open Sans" w:hAnsi="Open Sans" w:cs="Open Sans"/>
          <w:sz w:val="20"/>
          <w:szCs w:val="20"/>
        </w:rPr>
        <w:t xml:space="preserve"> et al. (2024) more fully illustrates the insufficiency of food access measurement at both the global and country level.  The work further identifies how existing information contained in the detailed food consumption modules in the extensive collection of household consumption surveys from across the world</w:t>
      </w:r>
      <w:r w:rsidR="00234B3D">
        <w:rPr>
          <w:rFonts w:ascii="Open Sans" w:hAnsi="Open Sans" w:cs="Open Sans"/>
          <w:sz w:val="20"/>
          <w:szCs w:val="20"/>
        </w:rPr>
        <w:t xml:space="preserve"> can be used</w:t>
      </w:r>
      <w:r w:rsidRPr="00DE2B25">
        <w:rPr>
          <w:rFonts w:ascii="Open Sans" w:hAnsi="Open Sans" w:cs="Open Sans"/>
          <w:sz w:val="20"/>
          <w:szCs w:val="20"/>
        </w:rPr>
        <w:t xml:space="preserve">.  In particular, the work illustrates for a set of West African countries that existing data </w:t>
      </w:r>
      <w:r w:rsidR="00E77286">
        <w:rPr>
          <w:rFonts w:ascii="Open Sans" w:hAnsi="Open Sans" w:cs="Open Sans"/>
          <w:sz w:val="20"/>
          <w:szCs w:val="20"/>
        </w:rPr>
        <w:t xml:space="preserve">can be used </w:t>
      </w:r>
      <w:r w:rsidRPr="00DE2B25">
        <w:rPr>
          <w:rFonts w:ascii="Open Sans" w:hAnsi="Open Sans" w:cs="Open Sans"/>
          <w:sz w:val="20"/>
          <w:szCs w:val="20"/>
        </w:rPr>
        <w:t xml:space="preserve">to construct measures of calorie consumption, undernourishment, and diet quality across the world, and that in a set of West African countries these indicators all align well with more standard and existing food access metrics.  And lastly, the work further offers guidance on how best to improve food access measurement in national statistical systems going forward, including multiple food access metrics in each survey, utilizing more of the consumption data to refine existing food security statistics, and ways that might reduce some of the noise in trying to infer the calorie content of consumption quantified using non-standard units. </w:t>
      </w:r>
    </w:p>
    <w:p w14:paraId="24A443F3" w14:textId="77777777" w:rsidR="00D01BE8" w:rsidRPr="00077757" w:rsidRDefault="00D01BE8" w:rsidP="00077757">
      <w:pPr>
        <w:spacing w:line="240" w:lineRule="auto"/>
        <w:jc w:val="both"/>
        <w:rPr>
          <w:rFonts w:ascii="Open Sans" w:hAnsi="Open Sans" w:cs="Open Sans"/>
        </w:rPr>
      </w:pPr>
    </w:p>
    <w:p w14:paraId="323892C2" w14:textId="3E080295" w:rsidR="00781FBC" w:rsidRPr="004C7C08" w:rsidRDefault="00781FBC" w:rsidP="004C7C08">
      <w:pPr>
        <w:pStyle w:val="Heading2"/>
        <w:spacing w:before="160" w:after="120" w:line="240" w:lineRule="auto"/>
        <w:ind w:left="576" w:hanging="576"/>
        <w:jc w:val="both"/>
        <w:rPr>
          <w:rFonts w:ascii="Open Sans" w:hAnsi="Open Sans"/>
          <w:sz w:val="20"/>
        </w:rPr>
      </w:pPr>
      <w:r w:rsidRPr="004C7C08">
        <w:rPr>
          <w:rFonts w:ascii="Open Sans" w:hAnsi="Open Sans"/>
          <w:sz w:val="20"/>
        </w:rPr>
        <w:t>Measuring climate risks</w:t>
      </w:r>
      <w:r w:rsidR="00FD2044" w:rsidRPr="004C7C08">
        <w:rPr>
          <w:rFonts w:ascii="Open Sans" w:hAnsi="Open Sans"/>
          <w:sz w:val="20"/>
        </w:rPr>
        <w:t xml:space="preserve"> </w:t>
      </w:r>
      <w:r w:rsidR="0068324E" w:rsidRPr="004C7C08">
        <w:rPr>
          <w:rFonts w:ascii="Open Sans" w:hAnsi="Open Sans"/>
          <w:sz w:val="20"/>
        </w:rPr>
        <w:t>for people and</w:t>
      </w:r>
      <w:r w:rsidR="00FD2044" w:rsidRPr="004C7C08">
        <w:rPr>
          <w:rFonts w:ascii="Open Sans" w:hAnsi="Open Sans"/>
          <w:sz w:val="20"/>
        </w:rPr>
        <w:t xml:space="preserve"> its components</w:t>
      </w:r>
    </w:p>
    <w:p w14:paraId="7E166349" w14:textId="77777777" w:rsidR="00211553" w:rsidRDefault="00211553">
      <w:pPr>
        <w:spacing w:line="240" w:lineRule="auto"/>
        <w:jc w:val="both"/>
        <w:rPr>
          <w:rFonts w:ascii="Open Sans" w:hAnsi="Open Sans" w:cs="Open Sans"/>
          <w:sz w:val="20"/>
          <w:szCs w:val="20"/>
        </w:rPr>
      </w:pPr>
    </w:p>
    <w:p w14:paraId="74C7DC79" w14:textId="37F268C2" w:rsidR="00781FBC" w:rsidRPr="009F6EBB" w:rsidRDefault="00102741" w:rsidP="00077757">
      <w:pPr>
        <w:spacing w:line="240" w:lineRule="auto"/>
        <w:jc w:val="both"/>
        <w:rPr>
          <w:rFonts w:ascii="Open Sans" w:hAnsi="Open Sans" w:cs="Open Sans"/>
          <w:sz w:val="20"/>
          <w:szCs w:val="20"/>
        </w:rPr>
      </w:pPr>
      <w:r>
        <w:rPr>
          <w:rFonts w:ascii="Open Sans" w:hAnsi="Open Sans" w:cs="Open Sans"/>
          <w:sz w:val="20"/>
          <w:szCs w:val="20"/>
        </w:rPr>
        <w:t xml:space="preserve">The new vision also tracks the percentage of people at risk of extreme weather events. </w:t>
      </w:r>
      <w:r w:rsidR="00781FBC" w:rsidRPr="009F6EBB">
        <w:rPr>
          <w:rFonts w:ascii="Open Sans" w:hAnsi="Open Sans" w:cs="Open Sans"/>
          <w:sz w:val="20"/>
          <w:szCs w:val="20"/>
        </w:rPr>
        <w:t xml:space="preserve">Measuring the risk from climate-related hazards is a complex task. Each of the three components of the indicator–hazards, </w:t>
      </w:r>
      <w:r w:rsidR="00781FBC" w:rsidRPr="009F6EBB" w:rsidDel="00003F5A">
        <w:rPr>
          <w:rFonts w:ascii="Open Sans" w:hAnsi="Open Sans" w:cs="Open Sans"/>
          <w:sz w:val="20"/>
          <w:szCs w:val="20"/>
        </w:rPr>
        <w:t>exposure</w:t>
      </w:r>
      <w:r w:rsidR="00003F5A" w:rsidRPr="009F6EBB">
        <w:rPr>
          <w:rFonts w:ascii="Open Sans" w:hAnsi="Open Sans" w:cs="Open Sans"/>
          <w:sz w:val="20"/>
          <w:szCs w:val="20"/>
        </w:rPr>
        <w:t>,</w:t>
      </w:r>
      <w:r w:rsidR="00781FBC" w:rsidRPr="009F6EBB">
        <w:rPr>
          <w:rFonts w:ascii="Open Sans" w:hAnsi="Open Sans" w:cs="Open Sans"/>
          <w:sz w:val="20"/>
          <w:szCs w:val="20"/>
        </w:rPr>
        <w:t xml:space="preserve"> and vulnerability–is composed of multiple dimensions, making the indicator a highly complex measure. The combination of all three adds to the complexity. In the following, we discuss some of the key limitation</w:t>
      </w:r>
      <w:r w:rsidR="00AE6653">
        <w:rPr>
          <w:rFonts w:ascii="Open Sans" w:hAnsi="Open Sans" w:cs="Open Sans"/>
          <w:sz w:val="20"/>
          <w:szCs w:val="20"/>
        </w:rPr>
        <w:t>s</w:t>
      </w:r>
      <w:r w:rsidR="00781FBC" w:rsidRPr="009F6EBB">
        <w:rPr>
          <w:rFonts w:ascii="Open Sans" w:hAnsi="Open Sans" w:cs="Open Sans"/>
          <w:sz w:val="20"/>
          <w:szCs w:val="20"/>
        </w:rPr>
        <w:t xml:space="preserve"> and future areas of improvement. </w:t>
      </w:r>
    </w:p>
    <w:p w14:paraId="326200AC" w14:textId="77777777" w:rsidR="00781FBC" w:rsidRPr="00077757" w:rsidRDefault="00781FBC" w:rsidP="00077757">
      <w:pPr>
        <w:pStyle w:val="Heading4"/>
        <w:spacing w:line="240" w:lineRule="auto"/>
        <w:rPr>
          <w:rFonts w:ascii="Open Sans" w:hAnsi="Open Sans" w:cs="Open Sans"/>
        </w:rPr>
      </w:pPr>
      <w:r w:rsidRPr="00077757">
        <w:rPr>
          <w:rFonts w:ascii="Open Sans" w:hAnsi="Open Sans" w:cs="Open Sans"/>
        </w:rPr>
        <w:t>Measuring hazards and exposure</w:t>
      </w:r>
    </w:p>
    <w:p w14:paraId="74C0A3EB" w14:textId="3C142063" w:rsidR="00781FBC" w:rsidRPr="00077757" w:rsidRDefault="00781FBC" w:rsidP="00077757">
      <w:pPr>
        <w:spacing w:line="240" w:lineRule="auto"/>
        <w:jc w:val="both"/>
        <w:rPr>
          <w:rFonts w:ascii="Open Sans" w:hAnsi="Open Sans" w:cs="Open Sans"/>
          <w:sz w:val="20"/>
          <w:szCs w:val="20"/>
          <w:lang w:val="es-AR"/>
        </w:rPr>
      </w:pPr>
      <w:r w:rsidRPr="009F6EBB">
        <w:rPr>
          <w:rFonts w:ascii="Open Sans" w:hAnsi="Open Sans" w:cs="Open Sans"/>
          <w:sz w:val="20"/>
          <w:szCs w:val="20"/>
        </w:rPr>
        <w:t xml:space="preserve">The definition of hazards requires a selection </w:t>
      </w:r>
      <w:r w:rsidR="00AB0F41">
        <w:rPr>
          <w:rFonts w:ascii="Open Sans" w:hAnsi="Open Sans" w:cs="Open Sans"/>
          <w:sz w:val="20"/>
          <w:szCs w:val="20"/>
        </w:rPr>
        <w:t xml:space="preserve">of </w:t>
      </w:r>
      <w:r w:rsidRPr="009F6EBB">
        <w:rPr>
          <w:rFonts w:ascii="Open Sans" w:hAnsi="Open Sans" w:cs="Open Sans"/>
          <w:sz w:val="20"/>
          <w:szCs w:val="20"/>
        </w:rPr>
        <w:t>hazards which are likely to impact the welfare of people</w:t>
      </w:r>
      <w:r w:rsidR="0015028E">
        <w:rPr>
          <w:rFonts w:ascii="Open Sans" w:hAnsi="Open Sans" w:cs="Open Sans"/>
          <w:sz w:val="20"/>
          <w:szCs w:val="20"/>
        </w:rPr>
        <w:t xml:space="preserve"> from a broader set of </w:t>
      </w:r>
      <w:r w:rsidRPr="009F6EBB">
        <w:rPr>
          <w:rFonts w:ascii="Open Sans" w:hAnsi="Open Sans" w:cs="Open Sans"/>
          <w:sz w:val="20"/>
          <w:szCs w:val="20"/>
        </w:rPr>
        <w:t xml:space="preserve">all possible hazards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{"citationID":"iWAkFG76","properties":{"formattedCitation":"(Doan et al., 2023)","plainCitation":"(Doan et al., 2023)","noteIndex":0},"citationItems":[{"id":928,"uris":["http://zotero.org/groups/5125234/items/56UW5IKV"],"itemData":{"id":928,"type":"book","language":"en","note":"DOI: 10.1596/1813-9450-10619","publisher":"World Bank, Washington, DC","source":"DOI.org (Crossref)","title":"Counting People Exposed to, Vulnerable to, or at High Risk From Climate Shocks: A Methodology","title-short":"Counting People Exposed to, Vulnerable to, or at High Risk From Climate Shocks","URL":"https://openknowledge.worldbank.org/handle/10986/40685","author":[{"family":"Doan","given":"Miki Khanh"},{"family":"Hill","given":"Ruth"},{"family":"Hallegatte","given":"Stephane"},{"family":"Corral","given":"Paul"},{"family":"Brunckhorst","given":"Ben"},{"family":"Nguyen","given":"Minh"},{"family":"Freije-Rodriguez","given":"Samuel"},{"family":"Naikal","given":"Esther"}],"accessed":{"date-parts":[["2023",12,14]]},"issued":{"date-parts":[["2023",12,4]]}}}],"schema":"https://github.com/citation-style-language/schema/raw/master/csl-citation.json"} </w:instrText>
      </w:r>
      <w:r w:rsidRPr="009F6EBB">
        <w:rPr>
          <w:rFonts w:ascii="Open Sans" w:hAnsi="Open Sans" w:cs="Open Sans"/>
          <w:sz w:val="20"/>
          <w:szCs w:val="20"/>
        </w:rPr>
        <w:fldChar w:fldCharType="separate"/>
      </w:r>
      <w:r w:rsidR="006D4424" w:rsidRPr="006D4424">
        <w:rPr>
          <w:rFonts w:ascii="Open Sans" w:hAnsi="Open Sans" w:cs="Open Sans"/>
          <w:sz w:val="20"/>
        </w:rPr>
        <w:t>(Doan et al., 2023)</w:t>
      </w:r>
      <w:r w:rsidRPr="009F6EBB">
        <w:rPr>
          <w:rFonts w:ascii="Open Sans" w:hAnsi="Open Sans" w:cs="Open Sans"/>
          <w:sz w:val="20"/>
          <w:szCs w:val="20"/>
        </w:rPr>
        <w:fldChar w:fldCharType="end"/>
      </w:r>
      <w:r w:rsidRPr="009F6EBB">
        <w:rPr>
          <w:rFonts w:ascii="Open Sans" w:hAnsi="Open Sans" w:cs="Open Sans"/>
          <w:sz w:val="20"/>
          <w:szCs w:val="20"/>
        </w:rPr>
        <w:t xml:space="preserve">. The indicator considers four climate-related hazard events–floods, droughts, heatwaves and cyclones–which have significant impacts on livelihoods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{"citationID":"BinK9hkv","properties":{"formattedCitation":"(IPCC, 2023)","plainCitation":"(IPCC, 2023)","noteIndex":0},"citationItems":[{"id":1064,"uris":["http://zotero.org/groups/5125234/items/ZJR9EKDD"],"itemData":{"id":1064,"type":"book","abstract":"The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Core.","edition":"1","ISBN":"978-1-00-932584-4","language":"en","note":"DOI: 10.1017/9781009325844","publisher":"Cambridge University Press","source":"DOI.org (Crossref)","title":"Climate Change 2022 – Impacts, Adaptation and Vulnerability: Working Group II Contribution to the Sixth Assessment Report of the Intergovernmental Panel on Climate Change","title-short":"Climate Change 2022 – Impacts, Adaptation and Vulnerability","URL":"https://www.cambridge.org/core/product/identifier/9781009325844/type/book","author":[{"literal":"IPCC"}],"accessed":{"date-parts":[["2024",2,1]]},"issued":{"date-parts":[["2023",6,22]]}}}],"schema":"https://github.com/citation-style-language/schema/raw/master/csl-citation.json"} </w:instrText>
      </w:r>
      <w:r w:rsidRPr="009F6EBB">
        <w:rPr>
          <w:rFonts w:ascii="Open Sans" w:hAnsi="Open Sans" w:cs="Open Sans"/>
          <w:sz w:val="20"/>
          <w:szCs w:val="20"/>
        </w:rPr>
        <w:fldChar w:fldCharType="separate"/>
      </w:r>
      <w:r w:rsidRPr="009F6EBB">
        <w:rPr>
          <w:rFonts w:ascii="Open Sans" w:hAnsi="Open Sans" w:cs="Open Sans"/>
          <w:sz w:val="20"/>
          <w:szCs w:val="20"/>
        </w:rPr>
        <w:t>(IPCC, 2023)</w:t>
      </w:r>
      <w:r w:rsidRPr="009F6EBB">
        <w:rPr>
          <w:rFonts w:ascii="Open Sans" w:hAnsi="Open Sans" w:cs="Open Sans"/>
          <w:sz w:val="20"/>
          <w:szCs w:val="20"/>
        </w:rPr>
        <w:fldChar w:fldCharType="end"/>
      </w:r>
      <w:r w:rsidRPr="009F6EBB">
        <w:rPr>
          <w:rFonts w:ascii="Open Sans" w:hAnsi="Open Sans" w:cs="Open Sans"/>
          <w:sz w:val="20"/>
          <w:szCs w:val="20"/>
        </w:rPr>
        <w:t>.</w:t>
      </w:r>
      <w:r w:rsidRPr="00C84B69">
        <w:rPr>
          <w:rStyle w:val="FootnoteReference"/>
        </w:rPr>
        <w:footnoteReference w:id="12"/>
      </w:r>
      <w:r w:rsidRPr="009F6EBB">
        <w:rPr>
          <w:rFonts w:ascii="Open Sans" w:hAnsi="Open Sans" w:cs="Open Sans"/>
          <w:sz w:val="20"/>
          <w:szCs w:val="20"/>
        </w:rPr>
        <w:t xml:space="preserve"> </w:t>
      </w:r>
      <w:proofErr w:type="spellStart"/>
      <w:r w:rsidRPr="009F6EBB">
        <w:rPr>
          <w:rFonts w:ascii="Open Sans" w:hAnsi="Open Sans" w:cs="Open Sans"/>
          <w:sz w:val="20"/>
          <w:szCs w:val="20"/>
        </w:rPr>
        <w:t>Geopyhsical</w:t>
      </w:r>
      <w:proofErr w:type="spellEnd"/>
      <w:r w:rsidRPr="009F6EBB">
        <w:rPr>
          <w:rFonts w:ascii="Open Sans" w:hAnsi="Open Sans" w:cs="Open Sans"/>
          <w:sz w:val="20"/>
          <w:szCs w:val="20"/>
        </w:rPr>
        <w:t xml:space="preserve"> hazards and environmental factors, such as earthquakes or air pollution, as well as climate trends such as sea-level rises, are not considered. It also omits some climate-related hazards such as wildfires, which rising temperatures make more devastating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{"citationID":"LGjlGrQR","properties":{"formattedCitation":"(IPCC, 2023)","plainCitation":"(IPCC, 2023)","noteIndex":0},"citationItems":[{"id":1064,"uris":["http://zotero.org/groups/5125234/items/ZJR9EKDD"],"itemData":{"id":1064,"type":"book","abstract":"The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w:instrText>
      </w:r>
      <w:r w:rsidR="00930395" w:rsidRPr="0008506B">
        <w:rPr>
          <w:rFonts w:ascii="Open Sans" w:hAnsi="Open Sans" w:cs="Open Sans"/>
          <w:sz w:val="20"/>
          <w:szCs w:val="20"/>
        </w:rPr>
        <w:instrText>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Core.","edition":"1","ISBN":"978-1-00-932584</w:instrText>
      </w:r>
      <w:r w:rsidR="00930395" w:rsidRPr="005319E6">
        <w:rPr>
          <w:rFonts w:ascii="Open Sans" w:hAnsi="Open Sans" w:cs="Open Sans"/>
          <w:sz w:val="20"/>
          <w:szCs w:val="20"/>
          <w:lang w:val="es-AR"/>
        </w:rPr>
        <w:instrText xml:space="preserve">-4","language":"en","note":"DOI: 10.1017/9781009325844","publisher":"Cambridge University Press","source":"DOI.org (Crossref)","title":"Climate Change 2022 – Impacts, Adaptation and Vulnerability: Working Group II Contribution to the Sixth Assessment Report of the Intergovernmental Panel on Climate Change","title-short":"Climate Change 2022 – Impacts, Adaptation and Vulnerability","URL":"https://www.cambridge.org/core/product/identifier/9781009325844/type/book","author":[{"literal":"IPCC"}],"accessed":{"date-parts":[["2024",2,1]]},"issued":{"date-parts":[["2023",6,22]]}}}],"schema":"https://github.com/citation-style-language/schema/raw/master/csl-citation.json"} </w:instrText>
      </w:r>
      <w:r w:rsidRPr="009F6EBB">
        <w:rPr>
          <w:rFonts w:ascii="Open Sans" w:hAnsi="Open Sans" w:cs="Open Sans"/>
          <w:sz w:val="20"/>
          <w:szCs w:val="20"/>
        </w:rPr>
        <w:fldChar w:fldCharType="separate"/>
      </w:r>
      <w:r w:rsidRPr="00077757">
        <w:rPr>
          <w:rFonts w:ascii="Open Sans" w:hAnsi="Open Sans" w:cs="Open Sans"/>
          <w:sz w:val="20"/>
          <w:szCs w:val="20"/>
          <w:lang w:val="es-AR"/>
        </w:rPr>
        <w:t>(IPCC, 2023)</w:t>
      </w:r>
      <w:r w:rsidRPr="009F6EBB">
        <w:rPr>
          <w:rFonts w:ascii="Open Sans" w:hAnsi="Open Sans" w:cs="Open Sans"/>
          <w:sz w:val="20"/>
          <w:szCs w:val="20"/>
        </w:rPr>
        <w:fldChar w:fldCharType="end"/>
      </w:r>
      <w:r w:rsidRPr="00077757">
        <w:rPr>
          <w:rFonts w:ascii="Open Sans" w:hAnsi="Open Sans" w:cs="Open Sans"/>
          <w:sz w:val="20"/>
          <w:szCs w:val="20"/>
          <w:lang w:val="es-AR"/>
        </w:rPr>
        <w:t>.</w:t>
      </w:r>
      <w:r w:rsidR="000E5D23" w:rsidRPr="00077757">
        <w:rPr>
          <w:rStyle w:val="FootnoteReference"/>
        </w:rPr>
        <w:footnoteReference w:id="13"/>
      </w:r>
      <w:r w:rsidRPr="00077757">
        <w:rPr>
          <w:rFonts w:ascii="Open Sans" w:hAnsi="Open Sans" w:cs="Open Sans"/>
          <w:sz w:val="20"/>
          <w:szCs w:val="20"/>
          <w:lang w:val="es-AR"/>
        </w:rPr>
        <w:t xml:space="preserve"> </w:t>
      </w:r>
    </w:p>
    <w:p w14:paraId="1D5D5B9E" w14:textId="7625F493" w:rsidR="00781FBC" w:rsidRPr="009F6EBB" w:rsidRDefault="00BD7551" w:rsidP="76599C24">
      <w:pPr>
        <w:spacing w:line="240" w:lineRule="auto"/>
        <w:jc w:val="both"/>
        <w:rPr>
          <w:rFonts w:ascii="Open Sans" w:hAnsi="Open Sans" w:cs="Open Sans"/>
          <w:sz w:val="20"/>
          <w:szCs w:val="20"/>
        </w:rPr>
      </w:pPr>
      <w:r w:rsidRPr="76599C24">
        <w:rPr>
          <w:rFonts w:ascii="Open Sans" w:hAnsi="Open Sans" w:cs="Open Sans"/>
          <w:sz w:val="20"/>
          <w:szCs w:val="20"/>
        </w:rPr>
        <w:t xml:space="preserve">The measure only considers the localized impact of the hazards. </w:t>
      </w:r>
      <w:r w:rsidR="006724C9" w:rsidRPr="76599C24">
        <w:rPr>
          <w:rFonts w:ascii="Open Sans" w:hAnsi="Open Sans" w:cs="Open Sans"/>
          <w:sz w:val="20"/>
          <w:szCs w:val="20"/>
        </w:rPr>
        <w:t>However, hazards also have</w:t>
      </w:r>
      <w:r w:rsidR="00781FBC" w:rsidRPr="76599C24">
        <w:rPr>
          <w:rFonts w:ascii="Open Sans" w:hAnsi="Open Sans" w:cs="Open Sans"/>
          <w:sz w:val="20"/>
          <w:szCs w:val="20"/>
        </w:rPr>
        <w:t xml:space="preserve"> indirect effects and spillovers, such as changes in prices or demand spurred by shocks in other regions </w:t>
      </w:r>
      <w:r w:rsidR="00781FBC" w:rsidRPr="009F6EBB">
        <w:rPr>
          <w:rFonts w:ascii="Open Sans" w:hAnsi="Open Sans" w:cs="Open Sans"/>
          <w:sz w:val="20"/>
          <w:szCs w:val="20"/>
        </w:rPr>
        <w:fldChar w:fldCharType="begin"/>
      </w:r>
      <w:r w:rsidR="00930395" w:rsidRPr="0008506B">
        <w:rPr>
          <w:rFonts w:ascii="Open Sans" w:hAnsi="Open Sans" w:cs="Open Sans"/>
          <w:sz w:val="20"/>
          <w:szCs w:val="20"/>
        </w:rPr>
        <w:instrText xml:space="preserve"> ADDIN ZOTERO_ITEM CSL_CITATION {"citationID":"NmjEfZBp","properties":{"formattedCitation":"(Cevik and Gwon, 2024; Hallegatte et al., 2016)","plainCitation":"(Cevik and Gwon, 2024; Hallegatte et al., 2016)","noteIndex":0},"citationItems":[{"id":835,"uris":["http://zotero.org/groups/5125234/items/FGS2UNPK"],"itemData":{"id":835,"type":"book","abstract":"'Economic losses from natural disasters totaled $92 billion in 2015.' Such statements, all too commonplace, assess the severity of disasters by no other measure than the damage inflicted on buildings, infrastructure, and agricultural production. But $1 in losses does not mean the same thing to a rich person that it does to a poor person; the gravity of a $92 billion loss depends on who experiences it. By focusing on aggregate losses—the traditional approach to disaster risk—we restrict our consideration to how disasters affect those wealthy enough to have assets to lose in the first place, and largely ignore the plight of poor people. This report moves beyond asset and production losses and shifts its attention to how natural disasters affect people’s well-being. Disasters are far greater threats to well-being than traditio</w:instrText>
      </w:r>
      <w:r w:rsidR="00930395">
        <w:rPr>
          <w:rFonts w:ascii="Open Sans" w:hAnsi="Open Sans" w:cs="Open Sans"/>
          <w:sz w:val="20"/>
          <w:szCs w:val="20"/>
        </w:rPr>
        <w:instrText xml:space="preserve">nal estimates suggest. This approach provides a more nuanced view of natural disasters than usual reporting, and a perspective that takes fuller account of poor people’s vulnerabilities. Poor people suffer only a fraction of economic losses caused by disasters, but they bear the brunt of their consequences. Understanding the disproportionate vulnerability of poor people also makes the case for setting new intervention priorities to lessen the impact of natural disasters on the world’s poor, such as expanding financial inclusion, disaster risk and health insurance, social protection and adaptive safety nets, contingent finance and reserve funds, and universal access to early warning systems. Efforts to reduce disaster risk and poverty go hand in hand. Because disasters impoverish so many, disaster risk management is inseparable from poverty reduction policy, and vice versa. As climate change magnifies natural hazards, and because protection infrastructure alone cannot eliminate risk, a more resilient population has never been more critical to breaking the cycle of disaster-induced poverty.","ISBN":"978-1-4648-1004-6","language":"en","note":"Google-Books-ID: yNmbDQAAQBAJ","number-of-pages":"285","publisher":"World Bank Publications","source":"Google Books","title":"Unbreakable: Building the Resilience of the Poor in the Face of Natural Disasters","title-short":"Unbreakable","author":[{"family":"Hallegatte","given":"Stephane"},{"family":"Vogt-Schilb","given":"Adrien"},{"family":"Bangalore","given":"Mook"},{"family":"Rozenberg","given":"Julie"}],"issued":{"date-parts":[["2016",11,24]]}}},{"id":1685,"uris":["http://zotero.org/groups/5125234/items/5W97539G"],"itemData":{"id":1685,"type":"article","abstract":"As climate change accelerates, the frequency and severity of extreme weather events are expected to worsen and have greater adverse consequences for ecosystems, physical infrastructure, and economic activity across the world. This paper investigates how weather anomalies affect global supply chains and inflation dynamics. Using monthly data for six large and well-diversified economies (China, the Euro area, Japan, Korea, the United Kingdom, and the United States) over the period 1997-2021, we implement a structural vector autoregressive model and document that weather anomalies could disrupt supply chains and subsequently lead to inflationary pressures. Our results—based on high-frequency data and robust to alternative estimation methodologies—show that these effects vary across countries, depending on the severity of weather shocks and vulnerability to supply chain disruptions. The impact of weather shocks on supply chains and inflation dynamics is likely to become more pronounced with accelerating climate change that can have non-linear effects. These findings have important policy implications. Central bankers should consider the impact of weather anomalies on supply chains and inflation dynamics to prevent entrenching second-round effects and de-anchoring of inflation expectations. More directly, however, governments can invest more for climate change adaptation to strengthen critical infrastructure and thereby minimize supply chain disruptions.","DOI":"10.5089/9798400273292.001","event-place":"Rochester, NY","genre":"SSRN Scholarly Paper","language":"en","number":"4790223","publisher-place":"Rochester, NY","source":"Social Science Research Network","title":"This is Going to Hurt: Weather Anomalies, Supply Chain Pressures and Inflation","title-short":"This is Going to Hurt","URL":"https://papers.ssrn.com/abstract=4790223","author":[{"family":"Cevik","given":"Serhan"},{"family":"Gwon","given":"Gyowon"}],"accessed":{"date-parts":[["2024",6,10]]},"issued":{"date-parts":[["2024",4,11]]}}}],"schema":"https://github.com/citation-style-language/schema/raw/master/csl-citation.json"} </w:instrText>
      </w:r>
      <w:r w:rsidR="00781FBC" w:rsidRPr="009F6EBB">
        <w:rPr>
          <w:rFonts w:ascii="Open Sans" w:hAnsi="Open Sans" w:cs="Open Sans"/>
          <w:sz w:val="20"/>
          <w:szCs w:val="20"/>
        </w:rPr>
        <w:fldChar w:fldCharType="separate"/>
      </w:r>
      <w:r w:rsidR="006D4424" w:rsidRPr="006D4424">
        <w:rPr>
          <w:rFonts w:ascii="Open Sans" w:hAnsi="Open Sans" w:cs="Open Sans"/>
          <w:sz w:val="20"/>
        </w:rPr>
        <w:t>(Cevik and Gwon, 2024; Hallegatte et al., 2016)</w:t>
      </w:r>
      <w:r w:rsidR="00781FBC" w:rsidRPr="009F6EBB">
        <w:rPr>
          <w:rFonts w:ascii="Open Sans" w:hAnsi="Open Sans" w:cs="Open Sans"/>
          <w:sz w:val="20"/>
          <w:szCs w:val="20"/>
        </w:rPr>
        <w:fldChar w:fldCharType="end"/>
      </w:r>
      <w:r w:rsidR="00781FBC" w:rsidRPr="76599C24">
        <w:rPr>
          <w:rFonts w:ascii="Open Sans" w:hAnsi="Open Sans" w:cs="Open Sans"/>
          <w:sz w:val="20"/>
          <w:szCs w:val="20"/>
        </w:rPr>
        <w:t xml:space="preserve">. Capturing transmission and indirect channels requires vast data including localized input-output data. Exposure through location can also be endogenous to hazards as these drive mobility </w:t>
      </w:r>
      <w:r w:rsidR="00781FBC"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{"citationID":"CiD2rV4h","properties":{"formattedCitation":"(World Bank, 2023)","plainCitation":"(World Bank, 2023)","noteIndex":0},"citationItems":[{"id":1691,"uris":["http://zotero.org/groups/5125234/items/44JHGKS2"],"itemData":{"id":1691,"type":"book","event-place":"Washington, D.C.","publisher":"World Bank","publisher-place":"Washington, D.C.","title":"World Development Report 2023: Migrants, Refugees, and Societies","author":[{"family":"World Bank","given":""}],"issued":{"date-parts":[["2023"]]}}}],"schema":"https://github.com/citation-style-language/schema/raw/master/csl-citation.json"} </w:instrText>
      </w:r>
      <w:r w:rsidR="00781FBC" w:rsidRPr="009F6EBB">
        <w:rPr>
          <w:rFonts w:ascii="Open Sans" w:hAnsi="Open Sans" w:cs="Open Sans"/>
          <w:sz w:val="20"/>
          <w:szCs w:val="20"/>
        </w:rPr>
        <w:fldChar w:fldCharType="separate"/>
      </w:r>
      <w:r w:rsidR="00781FBC" w:rsidRPr="76599C24">
        <w:rPr>
          <w:rFonts w:ascii="Open Sans" w:hAnsi="Open Sans" w:cs="Open Sans"/>
          <w:sz w:val="20"/>
          <w:szCs w:val="20"/>
        </w:rPr>
        <w:t>(World Bank, 2023)</w:t>
      </w:r>
      <w:r w:rsidR="00781FBC" w:rsidRPr="009F6EBB">
        <w:rPr>
          <w:rFonts w:ascii="Open Sans" w:hAnsi="Open Sans" w:cs="Open Sans"/>
          <w:sz w:val="20"/>
          <w:szCs w:val="20"/>
        </w:rPr>
        <w:fldChar w:fldCharType="end"/>
      </w:r>
      <w:r w:rsidR="00781FBC" w:rsidRPr="76599C24">
        <w:rPr>
          <w:rFonts w:ascii="Open Sans" w:hAnsi="Open Sans" w:cs="Open Sans"/>
          <w:sz w:val="20"/>
          <w:szCs w:val="20"/>
        </w:rPr>
        <w:t>.</w:t>
      </w:r>
      <w:r w:rsidR="00781FBC" w:rsidRPr="76599C24">
        <w:rPr>
          <w:rStyle w:val="FootnoteReference"/>
        </w:rPr>
        <w:footnoteReference w:id="14"/>
      </w:r>
      <w:r w:rsidR="00781FBC" w:rsidRPr="76599C24">
        <w:rPr>
          <w:rFonts w:ascii="Open Sans" w:hAnsi="Open Sans" w:cs="Open Sans"/>
          <w:sz w:val="20"/>
          <w:szCs w:val="20"/>
        </w:rPr>
        <w:t xml:space="preserve"> Accounting for indirect effects is not feasible at </w:t>
      </w:r>
      <w:r w:rsidR="00781FBC" w:rsidRPr="76599C24">
        <w:rPr>
          <w:rFonts w:ascii="Open Sans" w:hAnsi="Open Sans" w:cs="Open Sans"/>
          <w:sz w:val="20"/>
          <w:szCs w:val="20"/>
        </w:rPr>
        <w:lastRenderedPageBreak/>
        <w:t xml:space="preserve">this stage for a global indicator because of data requirements and the fact that these vary across settings </w:t>
      </w:r>
      <w:r w:rsidR="00781FBC"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{"citationID":"XLyfpQ8H","properties":{"formattedCitation":"(Cevik and Gwon, 2024; Somanathan et al., 2021)","plainCitation":"(Cevik and Gwon, 2024; Somanathan et al., 2021)","noteIndex":0},"citationItems":[{"id":1687,"uris":["http://zotero.org/groups/5125234/items/CRZDAIPT"],"itemData":{"id":1687,"type":"article-journal","abstract":"Hotter years are associated with lower economic output in developing countries. We show that the effect of temperature on labor is an important part of the explanation. Using microdata from selected firms in India, we estimate reduced worker productivity and increased absenteeism on hot days. Climate control significantly mitigates productivity losses. In a national panel of Indian factories, annual plant output falls by about 2% per degree Celsius. This response appears to be driven by a reduction in the output elasticity of labor. Our estimates are large enough to explain previously observed output losses in cross-country panels.","container-title":"Journal of Political Economy","DOI":"10.1086/713733","ISSN":"0022-3808","issue":"6","note":"publisher: The University of Chicago Press","page":"1797-1827","source":"journals.uchicago.edu (Atypon)","title":"The Impact of Temperature on Productivity and Labor Supply: Evidence from Indian Manufacturing","title-short":"The Impact of Temperature on Productivity and Labor Supply","volume":"129","author":[{"family":"Somanathan","given":"E."},{"family":"Somanathan","given":"Rohini"},{"family":"Sudarshan","given":"Anant"},{"family":"Tewari","given":"Meenu"}],"issued":{"date-parts":[["2021",6]]}}},{"id":1685,"uris":["http://zotero.org/groups/5125234/items/5W97539G"],"itemData":{"id":1685,"type":"article","abstract":"As climate change accelerates, the frequency and severity of extreme weather events are expected to worsen and have greater adverse consequences for ecosystems, physical infrastructure, and economic activity across the world. This paper investigates how weather anomalies affect global supply chains and inflation dynamics. Using monthly data for six large and well-diversified economies (China, the Euro area, Japan, Korea, the United Kingdom, and the United States) over the period 1997-2021, we implement a structural vector autoregressive model and document that weather anomalies could disrupt supply chains and subsequently lead to inflationary pressures. Our results—based on high-frequency data and robust to alternative estimation methodologies—show that these effects vary across countries, depending on the severity of weather shocks and vulnerability to supply chain disruptions. The impact of weather shocks on supply chains and inflation dynamics is likely to become more pronounced with accelerating climate change that can have non-linear effects. These findings have important policy implications. Central bankers should consider the impact of weather anomalies on supply chains and inflation dynamics to prevent entrenching second-round effects and de-anchoring of inflation expectations. More directly, however, governments can invest more for climate change adaptation to strengthen critical infrastructure and thereby minimize supply chain disruptions.","DOI":"10.5089/9798400273292.001","event-place":"Rochester, NY","genre":"SSRN Scholarly Paper","language":"en","number":"4790223","publisher-place":"Rochester, NY","source":"Social Science Research Network","title":"This is Going to Hurt: Weather Anomalies, Supply Chain Pressures and Inflation","title-short":"This is Going to Hurt","URL":"https://papers.ssrn.com/abstract=4790223","author":[{"family":"Cevik","given":"Serhan"},{"family":"Gwon","given":"Gyowon"}],"accessed":{"date-parts":[["2024",6,10]]},"issued":{"date-parts":[["2024",4,11]]}}}],"schema":"https://github.com/citation-style-language/schema/raw/master/csl-citation.json"} </w:instrText>
      </w:r>
      <w:r w:rsidR="00781FBC" w:rsidRPr="009F6EBB">
        <w:rPr>
          <w:rFonts w:ascii="Open Sans" w:hAnsi="Open Sans" w:cs="Open Sans"/>
          <w:sz w:val="20"/>
          <w:szCs w:val="20"/>
        </w:rPr>
        <w:fldChar w:fldCharType="separate"/>
      </w:r>
      <w:r w:rsidR="006D4424" w:rsidRPr="006D4424">
        <w:rPr>
          <w:rFonts w:ascii="Open Sans" w:hAnsi="Open Sans" w:cs="Open Sans"/>
          <w:sz w:val="20"/>
        </w:rPr>
        <w:t>(Cevik and Gwon, 2024; Somanathan et al., 2021)</w:t>
      </w:r>
      <w:r w:rsidR="00781FBC" w:rsidRPr="009F6EBB">
        <w:rPr>
          <w:rFonts w:ascii="Open Sans" w:hAnsi="Open Sans" w:cs="Open Sans"/>
          <w:sz w:val="20"/>
          <w:szCs w:val="20"/>
        </w:rPr>
        <w:fldChar w:fldCharType="end"/>
      </w:r>
      <w:r w:rsidR="00781FBC" w:rsidRPr="76599C24">
        <w:rPr>
          <w:rFonts w:ascii="Open Sans" w:hAnsi="Open Sans" w:cs="Open Sans"/>
          <w:sz w:val="20"/>
          <w:szCs w:val="20"/>
        </w:rPr>
        <w:t xml:space="preserve">. The measure thus represents a lower bound estimate of the population at risk from climate hazards. </w:t>
      </w:r>
    </w:p>
    <w:p w14:paraId="21908FF2" w14:textId="47FB7BA9" w:rsidR="00781FBC" w:rsidRPr="009F6EBB" w:rsidRDefault="00781FBC" w:rsidP="00077757">
      <w:pPr>
        <w:spacing w:line="240" w:lineRule="auto"/>
        <w:jc w:val="both"/>
        <w:rPr>
          <w:rFonts w:ascii="Open Sans" w:hAnsi="Open Sans" w:cs="Open Sans"/>
          <w:sz w:val="20"/>
          <w:szCs w:val="20"/>
        </w:rPr>
      </w:pPr>
      <w:r w:rsidRPr="009F6EBB">
        <w:rPr>
          <w:rFonts w:ascii="Open Sans" w:hAnsi="Open Sans" w:cs="Open Sans"/>
          <w:sz w:val="20"/>
          <w:szCs w:val="20"/>
        </w:rPr>
        <w:t xml:space="preserve">Second, for each hazard, an intensity level that corresponds to an extreme event and the probability that such an event occurs needs to be selected to define the population exposed. The choice of intensity thresholds is based on literature to define what constitutes a severe event with potential to cause significant welfare impacts to the exposed population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{"citationID":"rwFlVn1b","properties":{"formattedCitation":"(Doan et al., 2023)","plainCitation":"(Doan et al., 2023)","noteIndex":0},"citationItems":[{"id":928,"uris":["http://zotero.org/groups/5125234/items/56UW5IKV"],"itemData":{"id":928,"type":"book","language":"en","note":"DOI: 10.1596/1813-9450-10619","publisher":"World Bank, Washington, DC","source":"DOI.org (Crossref)","title":"Counting People Exposed to, Vulnerable to, or at High Risk From Climate Shocks: A Methodology","title-short":"Counting People Exposed to, Vulnerable to, or at High Risk From Climate Shocks","URL":"https://openknowledge.worldbank.org/handle/10986/40685","author":[{"family":"Doan","given":"Miki Khanh"},{"family":"Hill","given":"Ruth"},{"family":"Hallegatte","given":"Stephane"},{"family":"Corral","given":"Paul"},{"family":"Brunckhorst","given":"Ben"},{"family":"Nguyen","given":"Minh"},{"family":"Freije-Rodriguez","given":"Samuel"},{"family":"Naikal","given":"Esther"}],"accessed":{"date-parts":[["2023",12,14]]},"issued":{"date-parts":[["2023",12,4]]}}}],"schema":"https://github.com/citation-style-language/schema/raw/master/csl-citation.json"} </w:instrText>
      </w:r>
      <w:r w:rsidRPr="009F6EBB">
        <w:rPr>
          <w:rFonts w:ascii="Open Sans" w:hAnsi="Open Sans" w:cs="Open Sans"/>
          <w:sz w:val="20"/>
          <w:szCs w:val="20"/>
        </w:rPr>
        <w:fldChar w:fldCharType="separate"/>
      </w:r>
      <w:r w:rsidR="006D4424" w:rsidRPr="006D4424">
        <w:rPr>
          <w:rFonts w:ascii="Open Sans" w:hAnsi="Open Sans" w:cs="Open Sans"/>
          <w:sz w:val="20"/>
        </w:rPr>
        <w:t>(Doan et al., 2023)</w:t>
      </w:r>
      <w:r w:rsidRPr="009F6EBB">
        <w:rPr>
          <w:rFonts w:ascii="Open Sans" w:hAnsi="Open Sans" w:cs="Open Sans"/>
          <w:sz w:val="20"/>
          <w:szCs w:val="20"/>
        </w:rPr>
        <w:fldChar w:fldCharType="end"/>
      </w:r>
      <w:r w:rsidRPr="009F6EBB">
        <w:rPr>
          <w:rFonts w:ascii="Open Sans" w:hAnsi="Open Sans" w:cs="Open Sans"/>
          <w:sz w:val="20"/>
          <w:szCs w:val="20"/>
        </w:rPr>
        <w:t>. A limitation may be that there is a trade-off between global and context-specific numbers, as the impact of intensity levels can vary between contexts. The probability of occurrence for events is given by its return period, which reflects the likelihood that a hazard occurs at or above a specific intensity in a year. For all hazards except for drought, a return period of 100 years is used, that reflects a larger than 50 percent chance of experiencing an event during a person’s lifetime.</w:t>
      </w:r>
      <w:r w:rsidR="00EC3E70" w:rsidRPr="005319E6">
        <w:rPr>
          <w:rStyle w:val="FootnoteReference"/>
        </w:rPr>
        <w:footnoteReference w:id="15"/>
      </w:r>
      <w:r w:rsidRPr="009F6EBB">
        <w:rPr>
          <w:rFonts w:ascii="Open Sans" w:hAnsi="Open Sans" w:cs="Open Sans"/>
          <w:sz w:val="20"/>
          <w:szCs w:val="20"/>
        </w:rPr>
        <w:t xml:space="preserve"> For droughts, data only goes back 39 years and there is ongoing work to generate probabilistic scenarios. </w:t>
      </w:r>
    </w:p>
    <w:p w14:paraId="41EEFEB2" w14:textId="27C1BDE2" w:rsidR="00781FBC" w:rsidRPr="009F6EBB" w:rsidRDefault="00781FBC" w:rsidP="00077757">
      <w:pPr>
        <w:spacing w:line="240" w:lineRule="auto"/>
        <w:jc w:val="both"/>
        <w:rPr>
          <w:rFonts w:ascii="Open Sans" w:hAnsi="Open Sans" w:cs="Open Sans"/>
          <w:sz w:val="20"/>
          <w:szCs w:val="20"/>
        </w:rPr>
      </w:pPr>
      <w:r w:rsidRPr="009F6EBB">
        <w:rPr>
          <w:rFonts w:ascii="Open Sans" w:hAnsi="Open Sans" w:cs="Open Sans"/>
          <w:sz w:val="20"/>
          <w:szCs w:val="20"/>
        </w:rPr>
        <w:t xml:space="preserve">To derive populations that are exposed to hazards, Doan </w:t>
      </w:r>
      <w:r w:rsidRPr="009F6EBB">
        <w:rPr>
          <w:rFonts w:ascii="Open Sans" w:hAnsi="Open Sans" w:cs="Open Sans"/>
          <w:i/>
          <w:iCs/>
          <w:sz w:val="20"/>
          <w:szCs w:val="20"/>
        </w:rPr>
        <w:t>et al.</w:t>
      </w:r>
      <w:r w:rsidRPr="009F6EBB">
        <w:rPr>
          <w:rFonts w:ascii="Open Sans" w:hAnsi="Open Sans" w:cs="Open Sans"/>
          <w:sz w:val="20"/>
          <w:szCs w:val="20"/>
        </w:rPr>
        <w:t xml:space="preserve">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{"citationID":"pG18ADyY","properties":{"formattedCitation":"(2023)","plainCitation":"(2023)","noteIndex":0},"citationItems":[{"id":928,"uris":["http://zotero.org/groups/5125234/items/56UW5IKV"],"itemData":{"id":928,"type":"book","language":"en","note":"DOI: 10.1596/1813-9450-10619","publisher":"World Bank, Washington, DC","source":"DOI.org (Crossref)","title":"Counting People Exposed to, Vulnerable to, or at High Risk From Climate Shocks: A Methodology","title-short":"Counting People Exposed to, Vulnerable to, or at High Risk From Climate Shocks","URL":"https://openknowledge.worldbank.org/handle/10986/40685","author":[{"family":"Doan","given":"Miki Khanh"},{"family":"Hill","given":"Ruth"},{"family":"Hallegatte","given":"Stephane"},{"family":"Corral","given":"Paul"},{"family":"Brunckhorst","given":"Ben"},{"family":"Nguyen","given":"Minh"},{"family":"Freije-Rodriguez","given":"Samuel"},{"family":"Naikal","given":"Esther"}],"accessed":{"date-parts":[["2023",12,14]]},"issued":{"date-parts":[["2023",12,4]]}},"label":"page","suppress-author":true}],"schema":"https://github.com/citation-style-language/schema/raw/master/csl-citation.json"} </w:instrText>
      </w:r>
      <w:r w:rsidRPr="009F6EBB">
        <w:rPr>
          <w:rFonts w:ascii="Open Sans" w:hAnsi="Open Sans" w:cs="Open Sans"/>
          <w:sz w:val="20"/>
          <w:szCs w:val="20"/>
        </w:rPr>
        <w:fldChar w:fldCharType="separate"/>
      </w:r>
      <w:r w:rsidRPr="009F6EBB">
        <w:rPr>
          <w:rFonts w:ascii="Open Sans" w:hAnsi="Open Sans" w:cs="Open Sans"/>
          <w:sz w:val="20"/>
          <w:szCs w:val="20"/>
        </w:rPr>
        <w:t>(2023)</w:t>
      </w:r>
      <w:r w:rsidRPr="009F6EBB">
        <w:rPr>
          <w:rFonts w:ascii="Open Sans" w:hAnsi="Open Sans" w:cs="Open Sans"/>
          <w:sz w:val="20"/>
          <w:szCs w:val="20"/>
        </w:rPr>
        <w:fldChar w:fldCharType="end"/>
      </w:r>
      <w:r w:rsidRPr="009F6EBB">
        <w:rPr>
          <w:rFonts w:ascii="Open Sans" w:hAnsi="Open Sans" w:cs="Open Sans"/>
          <w:sz w:val="20"/>
          <w:szCs w:val="20"/>
        </w:rPr>
        <w:t xml:space="preserve"> overlay and resample urbanization data (GHSL) with gridded population data (GHS-POP). Hazard intensities and probabilities are then matched with these cells to define the share of urban and rural population exposed to the different hazard types. A key constraint is the different spatial resolution of indicators. Hazard data is resampled to match the population grids, so that each cell is exclusively classified as rural or urban and exposed or not exposed.</w:t>
      </w:r>
      <w:r w:rsidRPr="00C84B69">
        <w:rPr>
          <w:rStyle w:val="FootnoteReference"/>
        </w:rPr>
        <w:footnoteReference w:id="16"/>
      </w:r>
      <w:r w:rsidRPr="009F6EBB">
        <w:rPr>
          <w:rFonts w:ascii="Open Sans" w:hAnsi="Open Sans" w:cs="Open Sans"/>
          <w:sz w:val="20"/>
          <w:szCs w:val="20"/>
        </w:rPr>
        <w:t xml:space="preserve"> Resampling of different spatial resolutions can introduce measurement error. For instance, floods are measured with a resolution close to 90 meters, whereas the spatial resolution for cyclones is about 11 kilometers, and 30 kilometers for heatwaves. Work is underway to have a more fine-grained spatial resolution for heatwaves, which however tend to be less localized than floods, for example.</w:t>
      </w:r>
    </w:p>
    <w:p w14:paraId="08ADCCF5" w14:textId="77777777" w:rsidR="00781FBC" w:rsidRPr="00077757" w:rsidRDefault="00781FBC" w:rsidP="00077757">
      <w:pPr>
        <w:pStyle w:val="Heading4"/>
        <w:spacing w:line="240" w:lineRule="auto"/>
        <w:rPr>
          <w:rFonts w:ascii="Open Sans" w:hAnsi="Open Sans" w:cs="Open Sans"/>
        </w:rPr>
      </w:pPr>
      <w:r w:rsidRPr="00077757">
        <w:rPr>
          <w:rFonts w:ascii="Open Sans" w:hAnsi="Open Sans" w:cs="Open Sans"/>
        </w:rPr>
        <w:t>Measuring vulnerability and risk to climate hazards</w:t>
      </w:r>
    </w:p>
    <w:p w14:paraId="744DA7B8" w14:textId="77777777" w:rsidR="009B3315" w:rsidRDefault="009B3315">
      <w:pPr>
        <w:spacing w:line="240" w:lineRule="auto"/>
        <w:jc w:val="both"/>
        <w:rPr>
          <w:rFonts w:ascii="Open Sans" w:hAnsi="Open Sans" w:cs="Open Sans"/>
          <w:sz w:val="20"/>
          <w:szCs w:val="20"/>
        </w:rPr>
      </w:pPr>
    </w:p>
    <w:p w14:paraId="0E9C81C3" w14:textId="08203422" w:rsidR="00781FBC" w:rsidRPr="009F6EBB" w:rsidRDefault="00781FBC" w:rsidP="00077757">
      <w:pPr>
        <w:spacing w:line="240" w:lineRule="auto"/>
        <w:jc w:val="both"/>
        <w:rPr>
          <w:rFonts w:ascii="Open Sans" w:hAnsi="Open Sans" w:cs="Open Sans"/>
          <w:sz w:val="20"/>
          <w:szCs w:val="20"/>
        </w:rPr>
      </w:pPr>
      <w:r w:rsidRPr="009F6EBB">
        <w:rPr>
          <w:rFonts w:ascii="Open Sans" w:hAnsi="Open Sans" w:cs="Open Sans"/>
          <w:sz w:val="20"/>
          <w:szCs w:val="20"/>
        </w:rPr>
        <w:t xml:space="preserve">Similar considerations apply to measuring vulnerability. Vulnerability captures deprivations of households along </w:t>
      </w:r>
      <w:r w:rsidR="00DE1711">
        <w:rPr>
          <w:rFonts w:ascii="Open Sans" w:hAnsi="Open Sans" w:cs="Open Sans"/>
          <w:sz w:val="20"/>
          <w:szCs w:val="20"/>
        </w:rPr>
        <w:t>seven</w:t>
      </w:r>
      <w:r w:rsidRPr="009F6EBB">
        <w:rPr>
          <w:rFonts w:ascii="Open Sans" w:hAnsi="Open Sans" w:cs="Open Sans"/>
          <w:sz w:val="20"/>
          <w:szCs w:val="20"/>
        </w:rPr>
        <w:t xml:space="preserve"> dimensions (see </w:t>
      </w:r>
      <w:r w:rsidR="00342003">
        <w:rPr>
          <w:rFonts w:ascii="Open Sans" w:hAnsi="Open Sans" w:cs="Open Sans"/>
          <w:sz w:val="20"/>
          <w:szCs w:val="20"/>
        </w:rPr>
        <w:t>the appendix of</w:t>
      </w:r>
      <w:r w:rsidRPr="009F6EBB">
        <w:rPr>
          <w:rFonts w:ascii="Open Sans" w:hAnsi="Open Sans" w:cs="Open Sans"/>
          <w:sz w:val="20"/>
          <w:szCs w:val="20"/>
        </w:rPr>
        <w:t xml:space="preserve"> chapter 3</w:t>
      </w:r>
      <w:r w:rsidR="000016F7">
        <w:rPr>
          <w:rFonts w:ascii="Open Sans" w:hAnsi="Open Sans" w:cs="Open Sans"/>
          <w:sz w:val="20"/>
          <w:szCs w:val="20"/>
        </w:rPr>
        <w:t xml:space="preserve"> for more details</w:t>
      </w:r>
      <w:r w:rsidRPr="009F6EBB">
        <w:rPr>
          <w:rFonts w:ascii="Open Sans" w:hAnsi="Open Sans" w:cs="Open Sans"/>
          <w:sz w:val="20"/>
          <w:szCs w:val="20"/>
        </w:rPr>
        <w:t>).</w:t>
      </w:r>
      <w:r w:rsidR="0046414A" w:rsidRPr="005319E6">
        <w:rPr>
          <w:rStyle w:val="FootnoteReference"/>
        </w:rPr>
        <w:footnoteReference w:id="17"/>
      </w:r>
      <w:r w:rsidRPr="009F6EBB">
        <w:rPr>
          <w:rFonts w:ascii="Open Sans" w:hAnsi="Open Sans" w:cs="Open Sans"/>
          <w:sz w:val="20"/>
          <w:szCs w:val="20"/>
        </w:rPr>
        <w:t xml:space="preserve"> There is a range of additional factors that could matter for households’ coping and adaptive capacity</w:t>
      </w:r>
      <w:r w:rsidRPr="009F6EBB" w:rsidDel="002C350F">
        <w:rPr>
          <w:rFonts w:ascii="Open Sans" w:hAnsi="Open Sans" w:cs="Open Sans"/>
          <w:sz w:val="20"/>
          <w:szCs w:val="20"/>
        </w:rPr>
        <w:t xml:space="preserve"> </w:t>
      </w:r>
      <w:r w:rsidRPr="009F6EBB">
        <w:rPr>
          <w:rFonts w:ascii="Open Sans" w:hAnsi="Open Sans" w:cs="Open Sans"/>
          <w:sz w:val="20"/>
          <w:szCs w:val="20"/>
        </w:rPr>
        <w:t>which are currently not included in the vulnerability index, such as the type of assets that households hold, insurance</w:t>
      </w:r>
      <w:r w:rsidR="00586D1B">
        <w:rPr>
          <w:rFonts w:ascii="Open Sans" w:hAnsi="Open Sans" w:cs="Open Sans"/>
          <w:sz w:val="20"/>
          <w:szCs w:val="20"/>
        </w:rPr>
        <w:t>, such as health or home</w:t>
      </w:r>
      <w:r w:rsidR="00170FFC">
        <w:rPr>
          <w:rFonts w:ascii="Open Sans" w:hAnsi="Open Sans" w:cs="Open Sans"/>
          <w:sz w:val="20"/>
          <w:szCs w:val="20"/>
        </w:rPr>
        <w:t xml:space="preserve"> insurance</w:t>
      </w:r>
      <w:r w:rsidRPr="009F6EBB">
        <w:rPr>
          <w:rFonts w:ascii="Open Sans" w:hAnsi="Open Sans" w:cs="Open Sans"/>
          <w:sz w:val="20"/>
          <w:szCs w:val="20"/>
        </w:rPr>
        <w:t>, or gender.</w:t>
      </w:r>
      <w:r w:rsidRPr="00C84B69">
        <w:rPr>
          <w:rStyle w:val="FootnoteReference"/>
        </w:rPr>
        <w:footnoteReference w:id="18"/>
      </w:r>
      <w:r w:rsidRPr="009F6EBB">
        <w:rPr>
          <w:rFonts w:ascii="Open Sans" w:hAnsi="Open Sans" w:cs="Open Sans"/>
          <w:sz w:val="20"/>
          <w:szCs w:val="20"/>
        </w:rPr>
        <w:t xml:space="preserve"> In some cases, these variables are not </w:t>
      </w:r>
      <w:r w:rsidRPr="009F6EBB">
        <w:rPr>
          <w:rFonts w:ascii="Open Sans" w:hAnsi="Open Sans" w:cs="Open Sans"/>
          <w:sz w:val="20"/>
          <w:szCs w:val="20"/>
        </w:rPr>
        <w:lastRenderedPageBreak/>
        <w:t xml:space="preserve">available or comparable for a large enough global sample, and in other cases variables are not deemed to add sufficient additional information on vulnerability. </w:t>
      </w:r>
      <w:r w:rsidR="00E57001">
        <w:rPr>
          <w:rFonts w:ascii="Open Sans" w:hAnsi="Open Sans" w:cs="Open Sans"/>
          <w:sz w:val="20"/>
          <w:szCs w:val="20"/>
        </w:rPr>
        <w:t xml:space="preserve">A globally comparable indicator </w:t>
      </w:r>
      <w:r w:rsidR="00227304">
        <w:rPr>
          <w:rFonts w:ascii="Open Sans" w:hAnsi="Open Sans" w:cs="Open Sans"/>
          <w:sz w:val="20"/>
          <w:szCs w:val="20"/>
        </w:rPr>
        <w:t xml:space="preserve">also implies that it </w:t>
      </w:r>
      <w:r w:rsidR="008E4760">
        <w:rPr>
          <w:rFonts w:ascii="Open Sans" w:hAnsi="Open Sans" w:cs="Open Sans"/>
          <w:sz w:val="20"/>
          <w:szCs w:val="20"/>
        </w:rPr>
        <w:t>may not be relevant to the same extent in all countries</w:t>
      </w:r>
      <w:r w:rsidR="00227304">
        <w:rPr>
          <w:rFonts w:ascii="Open Sans" w:hAnsi="Open Sans" w:cs="Open Sans"/>
          <w:sz w:val="20"/>
          <w:szCs w:val="20"/>
        </w:rPr>
        <w:t>. For example, i</w:t>
      </w:r>
      <w:r w:rsidRPr="009F6EBB">
        <w:rPr>
          <w:rFonts w:ascii="Open Sans" w:hAnsi="Open Sans" w:cs="Open Sans"/>
          <w:sz w:val="20"/>
          <w:szCs w:val="20"/>
        </w:rPr>
        <w:t xml:space="preserve">n terms of thresholds, a household is considered vulnerable if no adult has primary education. Outside of low-income countries, this threshold may not be relevant. Furthermore, some vulnerability dimensions may be more specific to certain hazards than for others. Electricity access makes the usage of fans more likely which reduces the impacts of heatwaves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{"citationID":"laJao2ij","properties":{"formattedCitation":"(Carleton et al., 2022)","plainCitation":"(Carleton et al., 2022)","noteIndex":0},"citationItems":[{"id":301,"uris":["http://zotero.org/groups/5125234/items/P4PAW7J2"],"itemData":{"id":301,"type":"article-journal","abstract":"Using 40 countries’ subnational data, we estimate age-specific mortality-temperature relationships and extrapolate them to countries without data today and into a future with climate change. We uncover a U-shaped relationship where extre6me cold and hot temperatures increase mortality rates, especially for the elderly. Critically, this relationship is flattened by higher incomes and adaptation to local climate. Using a revealed-preference approach to recover unobserved adaptation costs, we estimate that the mean global increase in mortality risk due to climate change, accounting for adaptation benefits and costs, is valued at roughly 3.2% of global GDP in 2100 under a high-emissions scenario. Notably, today’s cold locations are projected to benefit, while today’s poor and hot locations have large projected damages. Finally, our central estimates indicate that the release of an additional ton of CO2 today will cause mortality-related damages of $36.6 under a high-emissions scenario, with an interquartile range accounting for both econometric and climate uncertainty of [−$7.8, $73.0]. These empirically grounded estimates exceed the previous literature’s estimates by an order of magnitude.","container-title":"The Quarterly Journal of Economics","DOI":"10.1093/qje/qjac020","ISSN":"0033-5533","issue":"4","journalAbbreviation":"The Quarterly Journal of Economics","page":"2037-2105","source":"Silverchair","title":"Valuing the Global Mortality Consequences of Climate Change Accounting for Adaptation Costs and Benefits*","volume":"137","author":[{"family":"Carleton","given":"Tamma"},{"family":"Jina","given":"Amir"},{"family":"Delgado","given":"Michael"},{"family":"Greenstone","given":"Michael"},{"family":"Houser","given":"Trevor"},{"family":"Hsiang","given":"Solomon"},{"family":"Hultgren","given":"Andrew"},{"family":"Kopp","given":"Robert E"},{"family":"McCusker","given":"Kelly E"},{"family":"Nath","given":"Ishan"},{"family":"Rising","given":"James"},{"family":"Rode","given":"Ashwin"},{"family":"Seo","given":"Hee Kwon"},{"family":"Viaene","given":"Arvid"},{"family":"Yuan","given":"Jiacan"},{"family":"Zhang","given":"Alice Tianbo"}],"issued":{"date-parts":[["2022",11,1]]}}}],"schema":"https://github.com/citation-style-language/schema/raw/master/csl-citation.json"} </w:instrText>
      </w:r>
      <w:r w:rsidRPr="009F6EBB">
        <w:rPr>
          <w:rFonts w:ascii="Open Sans" w:hAnsi="Open Sans" w:cs="Open Sans"/>
          <w:sz w:val="20"/>
          <w:szCs w:val="20"/>
        </w:rPr>
        <w:fldChar w:fldCharType="separate"/>
      </w:r>
      <w:r w:rsidR="006D4424" w:rsidRPr="006D4424">
        <w:rPr>
          <w:rFonts w:ascii="Open Sans" w:hAnsi="Open Sans" w:cs="Open Sans"/>
          <w:sz w:val="20"/>
        </w:rPr>
        <w:t>(Carleton et al., 2022)</w:t>
      </w:r>
      <w:r w:rsidRPr="009F6EBB">
        <w:rPr>
          <w:rFonts w:ascii="Open Sans" w:hAnsi="Open Sans" w:cs="Open Sans"/>
          <w:sz w:val="20"/>
          <w:szCs w:val="20"/>
        </w:rPr>
        <w:fldChar w:fldCharType="end"/>
      </w:r>
      <w:r w:rsidRPr="009F6EBB">
        <w:rPr>
          <w:rFonts w:ascii="Open Sans" w:hAnsi="Open Sans" w:cs="Open Sans"/>
          <w:sz w:val="20"/>
          <w:szCs w:val="20"/>
        </w:rPr>
        <w:t xml:space="preserve">, but floods or storms may destroy electricity infrastructure. These interconnections between hazards and vulnerability remain an area for future work. </w:t>
      </w:r>
    </w:p>
    <w:p w14:paraId="252AD681" w14:textId="125587BD" w:rsidR="00781FBC" w:rsidRPr="009F6EBB" w:rsidRDefault="00781FBC" w:rsidP="00077757">
      <w:pPr>
        <w:spacing w:line="240" w:lineRule="auto"/>
        <w:jc w:val="both"/>
        <w:rPr>
          <w:rFonts w:ascii="Open Sans" w:hAnsi="Open Sans" w:cs="Open Sans"/>
          <w:sz w:val="20"/>
          <w:szCs w:val="20"/>
        </w:rPr>
      </w:pPr>
      <w:r w:rsidRPr="009F6EBB">
        <w:rPr>
          <w:rFonts w:ascii="Open Sans" w:hAnsi="Open Sans" w:cs="Open Sans"/>
          <w:sz w:val="20"/>
          <w:szCs w:val="20"/>
        </w:rPr>
        <w:t xml:space="preserve">In contrast to the availability of global gridded data on hazards, data on vulnerability mostly comes from </w:t>
      </w:r>
      <w:r w:rsidR="009F10BA">
        <w:rPr>
          <w:rFonts w:ascii="Open Sans" w:hAnsi="Open Sans" w:cs="Open Sans"/>
          <w:sz w:val="20"/>
          <w:szCs w:val="20"/>
        </w:rPr>
        <w:t>household</w:t>
      </w:r>
      <w:r w:rsidRPr="009F6EBB">
        <w:rPr>
          <w:rFonts w:ascii="Open Sans" w:hAnsi="Open Sans" w:cs="Open Sans"/>
          <w:sz w:val="20"/>
          <w:szCs w:val="20"/>
        </w:rPr>
        <w:t xml:space="preserve"> surveys and is (i) much more spatially aggregated for </w:t>
      </w:r>
      <w:r w:rsidR="00315B6B">
        <w:rPr>
          <w:rFonts w:ascii="Open Sans" w:hAnsi="Open Sans" w:cs="Open Sans"/>
          <w:sz w:val="20"/>
          <w:szCs w:val="20"/>
        </w:rPr>
        <w:t>several</w:t>
      </w:r>
      <w:r w:rsidR="00315B6B" w:rsidRPr="009F6EBB">
        <w:rPr>
          <w:rFonts w:ascii="Open Sans" w:hAnsi="Open Sans" w:cs="Open Sans"/>
          <w:sz w:val="20"/>
          <w:szCs w:val="20"/>
        </w:rPr>
        <w:t xml:space="preserve"> </w:t>
      </w:r>
      <w:r w:rsidRPr="009F6EBB">
        <w:rPr>
          <w:rFonts w:ascii="Open Sans" w:hAnsi="Open Sans" w:cs="Open Sans"/>
          <w:sz w:val="20"/>
          <w:szCs w:val="20"/>
        </w:rPr>
        <w:t xml:space="preserve">of the dimensions, and (ii) not available in surveys for all countries. As data on vulnerability is typically only representative or available at subnational administrative regions, assumptions need to be made on the distribution of characteristics along exposed and non-exposed grids within the region. For the risk indicator, it is assumed that populations in exposed and non-exposed areas do not differ along vulnerability characteristics. While this might be a strong assumption, Doan </w:t>
      </w:r>
      <w:r w:rsidRPr="009F6EBB">
        <w:rPr>
          <w:rFonts w:ascii="Open Sans" w:hAnsi="Open Sans" w:cs="Open Sans"/>
          <w:i/>
          <w:iCs/>
          <w:sz w:val="20"/>
          <w:szCs w:val="20"/>
        </w:rPr>
        <w:t>et al.</w:t>
      </w:r>
      <w:r w:rsidRPr="009F6EBB">
        <w:rPr>
          <w:rFonts w:ascii="Open Sans" w:hAnsi="Open Sans" w:cs="Open Sans"/>
          <w:sz w:val="20"/>
          <w:szCs w:val="20"/>
        </w:rPr>
        <w:t xml:space="preserve">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{"citationID":"3l1XJnaH","properties":{"formattedCitation":"(2023)","plainCitation":"(2023)","noteIndex":0},"citationItems":[{"id":928,"uris":["http://zotero.org/groups/5125234/items/56UW5IKV"],"itemData":{"id":928,"type":"book","language":"en","note":"DOI: 10.1596/1813-9450-10619","publisher":"World Bank, Washington, DC","source":"DOI.org (Crossref)","title":"Counting People Exposed to, Vulnerable to, or at High Risk From Climate Shocks: A Methodology","title-short":"Counting People Exposed to, Vulnerable to, or at High Risk From Climate Shocks","URL":"https://openknowledge.worldbank.org/handle/10986/40685","author":[{"family":"Doan","given":"Miki Khanh"},{"family":"Hill","given":"Ruth"},{"family":"Hallegatte","given":"Stephane"},{"family":"Corral","given":"Paul"},{"family":"Brunckhorst","given":"Ben"},{"family":"Nguyen","given":"Minh"},{"family":"Freije-Rodriguez","given":"Samuel"},{"family":"Naikal","given":"Esther"}],"accessed":{"date-parts":[["2023",12,14]]},"issued":{"date-parts":[["2023",12,4]]}},"label":"page","suppress-author":true}],"schema":"https://github.com/citation-style-language/schema/raw/master/csl-citation.json"} </w:instrText>
      </w:r>
      <w:r w:rsidRPr="009F6EBB">
        <w:rPr>
          <w:rFonts w:ascii="Open Sans" w:hAnsi="Open Sans" w:cs="Open Sans"/>
          <w:sz w:val="20"/>
          <w:szCs w:val="20"/>
        </w:rPr>
        <w:fldChar w:fldCharType="separate"/>
      </w:r>
      <w:r w:rsidRPr="009F6EBB">
        <w:rPr>
          <w:rFonts w:ascii="Open Sans" w:hAnsi="Open Sans" w:cs="Open Sans"/>
          <w:sz w:val="20"/>
          <w:szCs w:val="20"/>
        </w:rPr>
        <w:t>(2023)</w:t>
      </w:r>
      <w:r w:rsidRPr="009F6EBB">
        <w:rPr>
          <w:rFonts w:ascii="Open Sans" w:hAnsi="Open Sans" w:cs="Open Sans"/>
          <w:sz w:val="20"/>
          <w:szCs w:val="20"/>
        </w:rPr>
        <w:fldChar w:fldCharType="end"/>
      </w:r>
      <w:r w:rsidRPr="009F6EBB">
        <w:rPr>
          <w:rFonts w:ascii="Open Sans" w:hAnsi="Open Sans" w:cs="Open Sans"/>
          <w:sz w:val="20"/>
          <w:szCs w:val="20"/>
        </w:rPr>
        <w:t xml:space="preserve"> test assigning different vulnerability characteristics to exposed and non-exposed areas, and find that this would lead to less than a one percentage point difference in results in most areas.</w:t>
      </w:r>
    </w:p>
    <w:p w14:paraId="7773E355" w14:textId="0BCBDDA9" w:rsidR="00781FBC" w:rsidRPr="009F6EBB" w:rsidRDefault="00781FBC" w:rsidP="00077757">
      <w:pPr>
        <w:spacing w:line="240" w:lineRule="auto"/>
        <w:jc w:val="both"/>
        <w:rPr>
          <w:rFonts w:ascii="Open Sans" w:hAnsi="Open Sans" w:cs="Open Sans"/>
          <w:sz w:val="20"/>
          <w:szCs w:val="20"/>
        </w:rPr>
      </w:pPr>
      <w:r w:rsidRPr="009F6EBB">
        <w:rPr>
          <w:rFonts w:ascii="Open Sans" w:hAnsi="Open Sans" w:cs="Open Sans"/>
          <w:sz w:val="20"/>
          <w:szCs w:val="20"/>
        </w:rPr>
        <w:t>A person is considered vulnerable if they belong to a household deprived in any of the dimensions. If all vulnerability indicators were collected in one survey in all countries, one could directly infer whether a person is vulnerable along at least one dimension. While most data is available in the Global Monitoring Database (GMD), data on social protection, financial inclusion, and some of the non-income dimensions missing in GMD for a particular country are based on other surveys, censuses or administrative datasets.</w:t>
      </w:r>
      <w:r w:rsidR="002C4B0C" w:rsidRPr="00C84B69">
        <w:rPr>
          <w:rStyle w:val="FootnoteReference"/>
        </w:rPr>
        <w:footnoteReference w:id="19"/>
      </w:r>
      <w:r w:rsidRPr="009F6EBB">
        <w:rPr>
          <w:rFonts w:ascii="Open Sans" w:hAnsi="Open Sans" w:cs="Open Sans"/>
          <w:sz w:val="20"/>
          <w:szCs w:val="20"/>
        </w:rPr>
        <w:t xml:space="preserve"> Data from other sources are fused into the data from </w:t>
      </w:r>
      <w:r w:rsidR="00F22C5B">
        <w:rPr>
          <w:rFonts w:ascii="Open Sans" w:hAnsi="Open Sans" w:cs="Open Sans"/>
          <w:sz w:val="20"/>
          <w:szCs w:val="20"/>
        </w:rPr>
        <w:t>the</w:t>
      </w:r>
      <w:r w:rsidRPr="009F6EBB">
        <w:rPr>
          <w:rFonts w:ascii="Open Sans" w:hAnsi="Open Sans" w:cs="Open Sans"/>
          <w:sz w:val="20"/>
          <w:szCs w:val="20"/>
        </w:rPr>
        <w:t xml:space="preserve"> GMD by randomly assigning households as vulnerable or non-vulnerable based on the rate of vulnerability observed in the strata that the household belongs to (strata are based on information on rural/urban, welfare quintile and subnational level if available).</w:t>
      </w:r>
      <w:r w:rsidRPr="00C84B69">
        <w:rPr>
          <w:rStyle w:val="FootnoteReference"/>
        </w:rPr>
        <w:footnoteReference w:id="20"/>
      </w:r>
      <w:r w:rsidRPr="009F6EBB">
        <w:rPr>
          <w:rFonts w:ascii="Open Sans" w:hAnsi="Open Sans" w:cs="Open Sans"/>
          <w:sz w:val="20"/>
          <w:szCs w:val="20"/>
          <w:vertAlign w:val="superscript"/>
        </w:rPr>
        <w:t>,</w:t>
      </w:r>
      <w:r w:rsidRPr="00C84B69">
        <w:rPr>
          <w:rStyle w:val="FootnoteReference"/>
        </w:rPr>
        <w:footnoteReference w:id="21"/>
      </w:r>
      <w:r w:rsidRPr="009F6EBB">
        <w:rPr>
          <w:rFonts w:ascii="Open Sans" w:hAnsi="Open Sans" w:cs="Open Sans"/>
          <w:sz w:val="20"/>
          <w:szCs w:val="20"/>
        </w:rPr>
        <w:t xml:space="preserve"> The share of vulnerable people (at least one dimension) are then calculated for the region for which the data is representative. These steps are repeated 100 times to account for household heterogeneity within each subgroup, and the final number is the average share of vulnerable households among these repetitions. This approach preserves the share of those that are vulnerable across datasets, however, inevitably the imputation approach introduces some inaccuracy. The population at high risk from extreme hazards is then calculated by multiplying </w:t>
      </w:r>
      <w:r w:rsidRPr="009F6EBB">
        <w:rPr>
          <w:rFonts w:ascii="Open Sans" w:hAnsi="Open Sans" w:cs="Open Sans"/>
          <w:sz w:val="20"/>
          <w:szCs w:val="20"/>
        </w:rPr>
        <w:lastRenderedPageBreak/>
        <w:t>the share of vulnerable with the population exposed.</w:t>
      </w:r>
      <w:r w:rsidRPr="00C84B69">
        <w:rPr>
          <w:rStyle w:val="FootnoteReference"/>
        </w:rPr>
        <w:footnoteReference w:id="22"/>
      </w:r>
      <w:r w:rsidRPr="009F6EBB">
        <w:rPr>
          <w:rFonts w:ascii="Open Sans" w:hAnsi="Open Sans" w:cs="Open Sans"/>
          <w:sz w:val="20"/>
          <w:szCs w:val="20"/>
        </w:rPr>
        <w:t xml:space="preserve"> Another important area for future research is whether being at risk already changes populations behavior and welfare, even without the materialization of shocks.</w:t>
      </w:r>
    </w:p>
    <w:p w14:paraId="33E5373B" w14:textId="3ED39916" w:rsidR="00781FBC" w:rsidRPr="009F6EBB" w:rsidRDefault="00781FBC" w:rsidP="00077757">
      <w:pPr>
        <w:spacing w:line="240" w:lineRule="auto"/>
        <w:jc w:val="both"/>
        <w:rPr>
          <w:rFonts w:ascii="Open Sans" w:hAnsi="Open Sans" w:cs="Open Sans"/>
          <w:sz w:val="20"/>
          <w:szCs w:val="20"/>
        </w:rPr>
      </w:pPr>
      <w:r w:rsidRPr="009F6EBB">
        <w:rPr>
          <w:rFonts w:ascii="Open Sans" w:hAnsi="Open Sans" w:cs="Open Sans"/>
          <w:sz w:val="20"/>
          <w:szCs w:val="20"/>
        </w:rPr>
        <w:t xml:space="preserve">The final measure of risk currently does not differentiate between populations that are more or less frequently affected by hazard events above respective thresholds, or by varying levels of intensity above the threshold. Furthermore, the cumulative effects of low-intensity but high-frequency events can also be sizeable for people’s welfare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{"citationID":"zegm3GKi","properties":{"formattedCitation":"(Hallegatte et al., 2020)","plainCitation":"(Hallegatte et al., 2020)","noteIndex":0},"citationItems":[{"id":1651,"uris":["http://zotero.org/groups/5125234/items/GQZ9YU4R"],"itemData":{"id":1651,"type":"article-journal","abstract":"Poor people are disproportionally affected by natural hazards and disasters. This paper provides a review of the multiple factors that explain why this is the case. It explores the role of exposure (often, but not always, poor people are more likely to be affected by hazards), vulnerability (when they are affected, poor people tend to lose a larger fraction of their wealth), and socio-economic resilience (poor people have a lower ability to cope with and recover from disaster impacts). Finally, the paper highlights the vicious circle between poverty and disaster losses: poverty is a major driver of people’s vulnerability to natural disasters, which in turn increase poverty in a measurable and significant way. The main policy implication is that poverty reduction can be considered as disaster risk management, and disaster risk management can be considered as poverty reduction.","container-title":"Economics of Disasters and Climate Change","DOI":"10.1007/s41885-020-00060-5","ISSN":"2511-1299","issue":"1","journalAbbreviation":"EconDisCliCha","language":"en","page":"223-247","source":"Springer Link","title":"From Poverty to Disaster and Back: a Review of the Literature","title-short":"From Poverty to Disaster and Back","volume":"4","author":[{"family":"Hallegatte","given":"Stéphane"},{"family":"Vogt-Schilb","given":"Adrien"},{"family":"Rozenberg","given":"Julie"},{"family":"Bangalore","given":"Mook"},{"family":"Beaudet","given":"Chloé"}],"issued":{"date-parts":[["2020",4,1]]}}}],"schema":"https://github.com/citation-style-language/schema/raw/master/csl-citation.json"} </w:instrText>
      </w:r>
      <w:r w:rsidRPr="009F6EBB">
        <w:rPr>
          <w:rFonts w:ascii="Open Sans" w:hAnsi="Open Sans" w:cs="Open Sans"/>
          <w:sz w:val="20"/>
          <w:szCs w:val="20"/>
        </w:rPr>
        <w:fldChar w:fldCharType="separate"/>
      </w:r>
      <w:r w:rsidR="006D4424" w:rsidRPr="006D4424">
        <w:rPr>
          <w:rFonts w:ascii="Open Sans" w:hAnsi="Open Sans" w:cs="Open Sans"/>
          <w:sz w:val="20"/>
        </w:rPr>
        <w:t>(Hallegatte et al., 2020)</w:t>
      </w:r>
      <w:r w:rsidRPr="009F6EBB">
        <w:rPr>
          <w:rFonts w:ascii="Open Sans" w:hAnsi="Open Sans" w:cs="Open Sans"/>
          <w:sz w:val="20"/>
          <w:szCs w:val="20"/>
        </w:rPr>
        <w:fldChar w:fldCharType="end"/>
      </w:r>
      <w:r w:rsidRPr="009F6EBB">
        <w:rPr>
          <w:rFonts w:ascii="Open Sans" w:hAnsi="Open Sans" w:cs="Open Sans"/>
          <w:sz w:val="20"/>
          <w:szCs w:val="20"/>
        </w:rPr>
        <w:t>. The impacts of some hazards are immediate, such as flooding or cyclones, whereas others are slower (</w:t>
      </w:r>
      <w:r w:rsidR="00521910">
        <w:rPr>
          <w:rFonts w:ascii="Open Sans" w:hAnsi="Open Sans" w:cs="Open Sans"/>
          <w:sz w:val="20"/>
          <w:szCs w:val="20"/>
        </w:rPr>
        <w:t xml:space="preserve">e.g., </w:t>
      </w:r>
      <w:r w:rsidRPr="009F6EBB">
        <w:rPr>
          <w:rFonts w:ascii="Open Sans" w:hAnsi="Open Sans" w:cs="Open Sans"/>
          <w:sz w:val="20"/>
          <w:szCs w:val="20"/>
        </w:rPr>
        <w:t xml:space="preserve">heatwaves), and costs between different types of hazards are likely to differ. The indicator </w:t>
      </w:r>
      <w:r w:rsidR="00EA11E2">
        <w:rPr>
          <w:rFonts w:ascii="Open Sans" w:hAnsi="Open Sans" w:cs="Open Sans"/>
          <w:sz w:val="20"/>
          <w:szCs w:val="20"/>
        </w:rPr>
        <w:t>thus</w:t>
      </w:r>
      <w:r w:rsidRPr="009F6EBB">
        <w:rPr>
          <w:rFonts w:ascii="Open Sans" w:hAnsi="Open Sans" w:cs="Open Sans"/>
          <w:sz w:val="20"/>
          <w:szCs w:val="20"/>
        </w:rPr>
        <w:t xml:space="preserve"> reflects the extensive rather than intensive margin of impacts. Furthermore, probability distributions of hazards will likely change in the future due to climate change, and what the most meaningful hazards are for human welfare today are not necessarily the same that will be most impactful in the future. Doan </w:t>
      </w:r>
      <w:r w:rsidRPr="009F6EBB">
        <w:rPr>
          <w:rFonts w:ascii="Open Sans" w:hAnsi="Open Sans" w:cs="Open Sans"/>
          <w:i/>
          <w:iCs/>
          <w:sz w:val="20"/>
          <w:szCs w:val="20"/>
        </w:rPr>
        <w:t>et al.</w:t>
      </w:r>
      <w:r w:rsidRPr="009F6EBB">
        <w:rPr>
          <w:rFonts w:ascii="Open Sans" w:hAnsi="Open Sans" w:cs="Open Sans"/>
          <w:sz w:val="20"/>
          <w:szCs w:val="20"/>
        </w:rPr>
        <w:t xml:space="preserve">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{"citationID":"6dlZNTwD","properties":{"formattedCitation":"(2023)","plainCitation":"(2023)","noteIndex":0},"citationItems":[{"id":928,"uris":["http://zotero.org/groups/5125234/items/56UW5IKV"],"itemData":{"id":928,"type":"book","language":"en","note":"DOI: 10.1596/1813-9450-10619","publisher":"World Bank, Washington, DC","source":"DOI.org (Crossref)","title":"Counting People Exposed to, Vulnerable to, or at High Risk From Climate Shocks: A Methodology","title-short":"Counting People Exposed to, Vulnerable to, or at High Risk From Climate Shocks","URL":"https://openknowledge.worldbank.org/handle/10986/40685","author":[{"family":"Doan","given":"Miki Khanh"},{"family":"Hill","given":"Ruth"},{"family":"Hallegatte","given":"Stephane"},{"family":"Corral","given":"Paul"},{"family":"Brunckhorst","given":"Ben"},{"family":"Nguyen","given":"Minh"},{"family":"Freije-Rodriguez","given":"Samuel"},{"family":"Naikal","given":"Esther"}],"accessed":{"date-parts":[["2023",12,14]]},"issued":{"date-parts":[["2023",12,4]]}},"label":"page","suppress-author":true}],"schema":"https://github.com/citation-style-language/schema/raw/master/csl-citation.json"} </w:instrText>
      </w:r>
      <w:r w:rsidRPr="009F6EBB">
        <w:rPr>
          <w:rFonts w:ascii="Open Sans" w:hAnsi="Open Sans" w:cs="Open Sans"/>
          <w:sz w:val="20"/>
          <w:szCs w:val="20"/>
        </w:rPr>
        <w:fldChar w:fldCharType="separate"/>
      </w:r>
      <w:r w:rsidRPr="009F6EBB">
        <w:rPr>
          <w:rFonts w:ascii="Open Sans" w:hAnsi="Open Sans" w:cs="Open Sans"/>
          <w:sz w:val="20"/>
          <w:szCs w:val="20"/>
        </w:rPr>
        <w:t>(2023)</w:t>
      </w:r>
      <w:r w:rsidRPr="009F6EBB">
        <w:rPr>
          <w:rFonts w:ascii="Open Sans" w:hAnsi="Open Sans" w:cs="Open Sans"/>
          <w:sz w:val="20"/>
          <w:szCs w:val="20"/>
        </w:rPr>
        <w:fldChar w:fldCharType="end"/>
      </w:r>
      <w:r w:rsidRPr="009F6EBB">
        <w:rPr>
          <w:rFonts w:ascii="Open Sans" w:hAnsi="Open Sans" w:cs="Open Sans"/>
          <w:sz w:val="20"/>
          <w:szCs w:val="20"/>
        </w:rPr>
        <w:t xml:space="preserve"> provide analyses of choosing different return periods of hazards. Reflecting how climate change will affect return periods, and how this will determine exposure rates of populations, is an area of ongoing research.</w:t>
      </w:r>
    </w:p>
    <w:p w14:paraId="7B8495F1" w14:textId="2703526B" w:rsidR="00781FBC" w:rsidRPr="009F6EBB" w:rsidRDefault="00781FBC" w:rsidP="00077757">
      <w:pPr>
        <w:spacing w:line="240" w:lineRule="auto"/>
        <w:jc w:val="both"/>
        <w:rPr>
          <w:rFonts w:ascii="Open Sans" w:hAnsi="Open Sans" w:cs="Open Sans"/>
          <w:sz w:val="20"/>
          <w:szCs w:val="20"/>
        </w:rPr>
      </w:pPr>
      <w:r w:rsidRPr="009F6EBB">
        <w:rPr>
          <w:rFonts w:ascii="Open Sans" w:hAnsi="Open Sans" w:cs="Open Sans"/>
          <w:sz w:val="20"/>
          <w:szCs w:val="20"/>
        </w:rPr>
        <w:t>A further caveat is that survey data is not available for every year across all countries</w:t>
      </w:r>
      <w:r w:rsidR="00CF46EA">
        <w:rPr>
          <w:rFonts w:ascii="Open Sans" w:hAnsi="Open Sans" w:cs="Open Sans"/>
          <w:sz w:val="20"/>
          <w:szCs w:val="20"/>
        </w:rPr>
        <w:t>, which also affects this indicator like the monetary and non-monetary poverty indicators</w:t>
      </w:r>
      <w:r w:rsidRPr="009F6EBB">
        <w:rPr>
          <w:rFonts w:ascii="Open Sans" w:hAnsi="Open Sans" w:cs="Open Sans"/>
          <w:sz w:val="20"/>
          <w:szCs w:val="20"/>
        </w:rPr>
        <w:t xml:space="preserve">. </w:t>
      </w:r>
      <w:r w:rsidR="00720BDB">
        <w:rPr>
          <w:rFonts w:ascii="Open Sans" w:hAnsi="Open Sans" w:cs="Open Sans"/>
          <w:sz w:val="20"/>
          <w:szCs w:val="20"/>
        </w:rPr>
        <w:t>In addition, w</w:t>
      </w:r>
      <w:r w:rsidRPr="009F6EBB">
        <w:rPr>
          <w:rFonts w:ascii="Open Sans" w:hAnsi="Open Sans" w:cs="Open Sans"/>
          <w:sz w:val="20"/>
          <w:szCs w:val="20"/>
        </w:rPr>
        <w:t xml:space="preserve">ithin one country, data sources can be from different years, which could introduce measurement error in the imputation process. For some countries the last available survey is too old for it to be included in the indicator. For income and consumption there are well-founded methods of extrapolating and interpolating across years, but not for the other indicators. </w:t>
      </w:r>
      <w:r w:rsidR="001A5620">
        <w:rPr>
          <w:rFonts w:ascii="Open Sans" w:hAnsi="Open Sans" w:cs="Open Sans"/>
          <w:sz w:val="20"/>
          <w:szCs w:val="20"/>
        </w:rPr>
        <w:t>Therefore, countries for which surveys are too old are excluded from the vulnerability indicator.</w:t>
      </w:r>
    </w:p>
    <w:p w14:paraId="287931A4" w14:textId="703B98BC" w:rsidR="00781FBC" w:rsidRPr="009F6EBB" w:rsidRDefault="00781FBC" w:rsidP="00077757">
      <w:pPr>
        <w:spacing w:line="240" w:lineRule="auto"/>
        <w:jc w:val="both"/>
        <w:rPr>
          <w:rFonts w:ascii="Open Sans" w:hAnsi="Open Sans" w:cs="Open Sans"/>
          <w:sz w:val="20"/>
          <w:szCs w:val="20"/>
        </w:rPr>
      </w:pPr>
      <w:r w:rsidRPr="009F6EBB">
        <w:rPr>
          <w:rFonts w:ascii="Open Sans" w:hAnsi="Open Sans" w:cs="Open Sans"/>
          <w:sz w:val="20"/>
          <w:szCs w:val="20"/>
        </w:rPr>
        <w:t xml:space="preserve">The first-best option </w:t>
      </w:r>
      <w:r w:rsidR="00291984">
        <w:rPr>
          <w:rFonts w:ascii="Open Sans" w:hAnsi="Open Sans" w:cs="Open Sans"/>
          <w:sz w:val="20"/>
          <w:szCs w:val="20"/>
        </w:rPr>
        <w:t xml:space="preserve">to </w:t>
      </w:r>
      <w:r w:rsidRPr="009F6EBB">
        <w:rPr>
          <w:rFonts w:ascii="Open Sans" w:hAnsi="Open Sans" w:cs="Open Sans"/>
          <w:sz w:val="20"/>
          <w:szCs w:val="20"/>
        </w:rPr>
        <w:t xml:space="preserve">improve </w:t>
      </w:r>
      <w:r w:rsidR="00291984">
        <w:rPr>
          <w:rFonts w:ascii="Open Sans" w:hAnsi="Open Sans" w:cs="Open Sans"/>
          <w:sz w:val="20"/>
          <w:szCs w:val="20"/>
        </w:rPr>
        <w:t xml:space="preserve">the measurement of </w:t>
      </w:r>
      <w:r w:rsidRPr="009F6EBB">
        <w:rPr>
          <w:rFonts w:ascii="Open Sans" w:hAnsi="Open Sans" w:cs="Open Sans"/>
          <w:sz w:val="20"/>
          <w:szCs w:val="20"/>
        </w:rPr>
        <w:t xml:space="preserve">vulnerability </w:t>
      </w:r>
      <w:r w:rsidR="00291984">
        <w:rPr>
          <w:rFonts w:ascii="Open Sans" w:hAnsi="Open Sans" w:cs="Open Sans"/>
          <w:sz w:val="20"/>
          <w:szCs w:val="20"/>
        </w:rPr>
        <w:t xml:space="preserve">are better and more frequent </w:t>
      </w:r>
      <w:r w:rsidRPr="009F6EBB">
        <w:rPr>
          <w:rFonts w:ascii="Open Sans" w:hAnsi="Open Sans" w:cs="Open Sans"/>
          <w:sz w:val="20"/>
          <w:szCs w:val="20"/>
        </w:rPr>
        <w:t>household surveys. Including all indicators in a comparable manner in household surveys across countries would reduce biases from the imputation process. Consultations on such harmonization are underway. More frequent surveys would allow to have a more accurate and up-to-date picture of vulnerability.</w:t>
      </w:r>
    </w:p>
    <w:p w14:paraId="737FDAC5" w14:textId="77777777" w:rsidR="005A3628" w:rsidRPr="001F3E92" w:rsidRDefault="005A3628" w:rsidP="00077757">
      <w:pPr>
        <w:spacing w:line="240" w:lineRule="auto"/>
        <w:jc w:val="both"/>
        <w:rPr>
          <w:rFonts w:ascii="Open Sans" w:hAnsi="Open Sans" w:cs="Open Sans"/>
          <w:sz w:val="20"/>
          <w:szCs w:val="20"/>
        </w:rPr>
      </w:pPr>
    </w:p>
    <w:p w14:paraId="56305152" w14:textId="39AB9623" w:rsidR="00F80BF4" w:rsidRDefault="00F80BF4" w:rsidP="005319E6">
      <w:pPr>
        <w:pStyle w:val="Heading2"/>
      </w:pPr>
      <w:r w:rsidRPr="004C7C08">
        <w:rPr>
          <w:rFonts w:ascii="Open Sans" w:hAnsi="Open Sans"/>
          <w:sz w:val="20"/>
        </w:rPr>
        <w:t xml:space="preserve">Projecting </w:t>
      </w:r>
      <w:r w:rsidR="00C177B1" w:rsidRPr="004C7C08">
        <w:rPr>
          <w:rFonts w:ascii="Open Sans" w:hAnsi="Open Sans"/>
          <w:sz w:val="20"/>
        </w:rPr>
        <w:t xml:space="preserve">emissions, warming, and their impact on </w:t>
      </w:r>
      <w:r w:rsidR="00CB5BF4" w:rsidRPr="004C7C08">
        <w:rPr>
          <w:rFonts w:ascii="Open Sans" w:hAnsi="Open Sans"/>
          <w:sz w:val="20"/>
        </w:rPr>
        <w:t>poverty</w:t>
      </w:r>
      <w:r w:rsidR="005F45C5" w:rsidRPr="004C7C08">
        <w:rPr>
          <w:rFonts w:ascii="Open Sans" w:hAnsi="Open Sans"/>
          <w:sz w:val="20"/>
        </w:rPr>
        <w:t xml:space="preserve"> forecasts</w:t>
      </w:r>
      <w:r w:rsidR="002829A7" w:rsidRPr="004C7C08">
        <w:rPr>
          <w:rFonts w:ascii="Open Sans" w:hAnsi="Open Sans"/>
          <w:sz w:val="20"/>
        </w:rPr>
        <w:t>- some</w:t>
      </w:r>
      <w:r w:rsidR="002829A7">
        <w:t xml:space="preserve"> reflections</w:t>
      </w:r>
      <w:r w:rsidR="00CB5BF4">
        <w:t xml:space="preserve"> </w:t>
      </w:r>
    </w:p>
    <w:p w14:paraId="68AA07D8" w14:textId="77777777" w:rsidR="00D6556C" w:rsidRDefault="00D6556C" w:rsidP="00D6556C"/>
    <w:p w14:paraId="2F98F1AC" w14:textId="69A4FE9F" w:rsidR="00D6556C" w:rsidRPr="009F6EBB" w:rsidRDefault="00D6556C" w:rsidP="00D6556C">
      <w:pPr>
        <w:spacing w:line="240" w:lineRule="auto"/>
        <w:jc w:val="both"/>
        <w:rPr>
          <w:rFonts w:ascii="Open Sans" w:hAnsi="Open Sans" w:cs="Open Sans"/>
          <w:sz w:val="20"/>
          <w:szCs w:val="20"/>
        </w:rPr>
      </w:pPr>
      <w:r w:rsidRPr="009F6EBB">
        <w:rPr>
          <w:rFonts w:ascii="Open Sans" w:hAnsi="Open Sans" w:cs="Open Sans"/>
          <w:sz w:val="20"/>
          <w:szCs w:val="20"/>
        </w:rPr>
        <w:t xml:space="preserve">There is broad consensus that global warming (caused by anthropogenic emissions) will have negative consequences for economic growth and poverty reduction in the future. However, there is considerable uncertainty around the exact effect sizes. These depend on a variety of factors and assumptions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{"citationID":"4wkEuVNF","properties":{"formattedCitation":"(Tol, 2024)","plainCitation":"(Tol, 2024)","noteIndex":0},"citationItems":[{"id":1609,"uris":["http://zotero.org/groups/5125234/items/VAQS48EG"],"itemData":{"id":1609,"type":"article-journal","abstract":"Earlier meta-analyses of the economic impact of climate change are updated with more data, with three new results: (1) The central estimate of the economic impact of global warming is always negative. (2) The confidence interval about the estimates is much wider. (3) Elicitation methods are most pessimistic, econometric studies most optimistic. Two previous results remain: (4) The uncertainty about the impact is skewed towards negative surprises. (5) Poorer countries are much more vulnerable than richer ones. A meta-analysis of the impact of weather shocks reveals that studies, which relate economic growth to temperature levels, cannot agree on the sign of the impact whereas studies, which make economic growth a function of temperature change do agree on the sign but differ an order of magnitude in effect size. The former studies posit that climate change has a permanent effect on economic growth, the latter that the effect is transient. The impact on economic growth implied by studies of the impact of climate change is close to the growth impact estimated as a function of weather shocks. The social cost of carbon shows a similar pattern to the total impact estimates, but with more emphasis on the impacts of moderate warming in the near and medium term.","container-title":"Energy Policy","DOI":"10.1016/j.enpol.2023.113922","ISSN":"0301-4215","journalAbbreviation":"Energy Policy","page":"113922","source":"ScienceDirect","title":"A meta-analysis of the total economic impact of climate change","volume":"185","author":[{"family":"Tol","given":"Richard S. J."}],"issued":{"date-parts":[["2024",2,1]]}}}],"schema":"https://github.com/citation-style-language/schema/raw/master/csl-citation.json"} </w:instrText>
      </w:r>
      <w:r w:rsidRPr="009F6EBB">
        <w:rPr>
          <w:rFonts w:ascii="Open Sans" w:hAnsi="Open Sans" w:cs="Open Sans"/>
          <w:sz w:val="20"/>
          <w:szCs w:val="20"/>
        </w:rPr>
        <w:fldChar w:fldCharType="separate"/>
      </w:r>
      <w:r w:rsidRPr="009F6EBB">
        <w:rPr>
          <w:rFonts w:ascii="Open Sans" w:hAnsi="Open Sans" w:cs="Open Sans"/>
          <w:sz w:val="20"/>
          <w:szCs w:val="20"/>
        </w:rPr>
        <w:t>(Tol, 2024)</w:t>
      </w:r>
      <w:r w:rsidRPr="009F6EBB">
        <w:rPr>
          <w:rFonts w:ascii="Open Sans" w:hAnsi="Open Sans" w:cs="Open Sans"/>
          <w:sz w:val="20"/>
          <w:szCs w:val="20"/>
        </w:rPr>
        <w:fldChar w:fldCharType="end"/>
      </w:r>
      <w:r w:rsidRPr="009F6EBB">
        <w:rPr>
          <w:rFonts w:ascii="Open Sans" w:hAnsi="Open Sans" w:cs="Open Sans"/>
          <w:sz w:val="20"/>
          <w:szCs w:val="20"/>
        </w:rPr>
        <w:t xml:space="preserve">. </w:t>
      </w:r>
      <w:r w:rsidR="00153E44">
        <w:rPr>
          <w:rFonts w:ascii="Open Sans" w:hAnsi="Open Sans" w:cs="Open Sans"/>
          <w:sz w:val="20"/>
          <w:szCs w:val="20"/>
        </w:rPr>
        <w:t>In</w:t>
      </w:r>
      <w:r w:rsidRPr="009F6EBB" w:rsidDel="00F737C3">
        <w:rPr>
          <w:rFonts w:ascii="Open Sans" w:hAnsi="Open Sans" w:cs="Open Sans"/>
          <w:sz w:val="20"/>
          <w:szCs w:val="20"/>
        </w:rPr>
        <w:t xml:space="preserve"> this </w:t>
      </w:r>
      <w:r w:rsidRPr="009F6EBB">
        <w:rPr>
          <w:rFonts w:ascii="Open Sans" w:hAnsi="Open Sans" w:cs="Open Sans"/>
          <w:sz w:val="20"/>
          <w:szCs w:val="20"/>
        </w:rPr>
        <w:t>report</w:t>
      </w:r>
      <w:r w:rsidR="00153E44">
        <w:rPr>
          <w:rFonts w:ascii="Open Sans" w:hAnsi="Open Sans" w:cs="Open Sans"/>
          <w:sz w:val="20"/>
          <w:szCs w:val="20"/>
        </w:rPr>
        <w:t>,</w:t>
      </w:r>
      <w:r w:rsidRPr="009F6EBB">
        <w:rPr>
          <w:rFonts w:ascii="Open Sans" w:hAnsi="Open Sans" w:cs="Open Sans"/>
          <w:sz w:val="20"/>
          <w:szCs w:val="20"/>
        </w:rPr>
        <w:t xml:space="preserve"> rather than presenting a wide range of possible impacts on poverty in the future, we limit the analysis to a description of directional impacts.</w:t>
      </w:r>
      <w:r w:rsidRPr="009F6EBB" w:rsidDel="00991E07">
        <w:rPr>
          <w:rFonts w:ascii="Open Sans" w:hAnsi="Open Sans" w:cs="Open Sans"/>
          <w:sz w:val="20"/>
          <w:szCs w:val="20"/>
        </w:rPr>
        <w:t xml:space="preserve"> </w:t>
      </w:r>
      <w:r w:rsidR="00991E07">
        <w:rPr>
          <w:rFonts w:ascii="Open Sans" w:hAnsi="Open Sans" w:cs="Open Sans"/>
          <w:sz w:val="20"/>
          <w:szCs w:val="20"/>
        </w:rPr>
        <w:t xml:space="preserve"> </w:t>
      </w:r>
      <w:r w:rsidRPr="009F6EBB">
        <w:rPr>
          <w:rFonts w:ascii="Open Sans" w:hAnsi="Open Sans" w:cs="Open Sans"/>
          <w:sz w:val="20"/>
          <w:szCs w:val="20"/>
        </w:rPr>
        <w:t xml:space="preserve">Rising temperatures and climate hazards are already impacting large populations today </w:t>
      </w:r>
      <w:r w:rsidRPr="009F6EBB">
        <w:rPr>
          <w:rFonts w:ascii="Open Sans" w:hAnsi="Open Sans" w:cs="Open Sans"/>
          <w:sz w:val="20"/>
          <w:szCs w:val="20"/>
        </w:rPr>
        <w:fldChar w:fldCharType="begin"/>
      </w:r>
      <w:r w:rsidR="00930395">
        <w:rPr>
          <w:rFonts w:ascii="Open Sans" w:hAnsi="Open Sans" w:cs="Open Sans"/>
          <w:sz w:val="20"/>
          <w:szCs w:val="20"/>
        </w:rPr>
        <w:instrText xml:space="preserve"> ADDIN ZOTERO_ITEM CSL_CITATION {"citationID":"nL7Z3yY6","properties":{"formattedCitation":"(Dang et al., 2023; Hallegatte and Walsh, 2021)","plainCitation":"(Dang et al., 2023; Hallegatte and Walsh, 2021)","noteIndex":0},"citationItems":[{"id":230,"uris":["http://zotero.org/groups/5125234/items/66XJJFQY"],"itemData":{"id":230,"type":"chapter","abstract":"Conventional risk assessments underestimate the human and macroeconomic costs of disasters, leading to inefficient risk management strategies. This happens because conventional assessments focus on asset losses, neglecting important relationships between vulnerability and development. When affected by a hazard, poor households take longer to recover from disasters and are more likely to face long-term consequences. Forced to manage trade-offs between essential consumption and reconstruction, these households are more likely to face persistent health or education costs. This chapter proposes a review of existing research into the natural disaster-poverty-inequality nexus and the various metrics that can be used to measure disaster impacts, such as recovery times, economic (income or consumption) losses, poverty incidence, inequality, and welfare or well-being losses. Each of these metrics provides a different perspective on disaster costs and suggest different spatial and sectoral priorities for action. Focusing on the concepts of well-being losses and socioeconomic resilience, this chapter shows how more comprehensive accounting of disaster impacts can better inform disaster risk management and climate change adaptation strategies and support their integration into development and poverty-reduction policies.","container-title":"The Routledge Handbook of the Political Economy of the Environment","ISBN":"978-0-367-81453-3","note":"number-of-pages: 21","publisher":"Routledge","title":"Natural disasters, poverty and inequality: New metrics for fairer policies","title-short":"Natural disasters, poverty and inequality","author":[{"family":"Hallegatte","given":"Stéphane"},{"family":"Walsh","given":"Brian"}],"issued":{"date-parts":[["2021"]]}}},{"id":887,"uris":["http://zotero.org/groups/5125234/items/GLPFLSRK"],"itemData":{"id":887,"type":"article-journal","abstract":"Despite a vast literature documenting the harmful effects of climate change on various socioeconomic outcomes, little evidence exists on the global impacts of hotter temperature on poverty and inequality. Analysis of a new global panel dataset of subnational poverty in 134 countries finds that a one-degree Celsius increase in temperature leads to a 9.1 percent increase in poverty, using the US$1.90 daily poverty threshold. A similar increase in temperature causes a 1.4 percent increase in the Gini inequality index. The paper also finds negative effects of colder temperature on poverty and inequality. Yet, while poorer countries—particularly those in South Asia and Sub-Saharan Africa—are more affected by climate change, household adaptation could have mitigated some adverse effects in the long run. The findings provide relevant and timely inputs for the global fight against climate change as well as the current policy debate on the responsibilities of richer countries versus poorer countries.","collection-title":"World Bank Policy Research Working Papers","DOI":"https://doi.org/10.1596/1813-9450-10466","issue":"104","language":"eng","note":"number-of-pages: 80\nnumber: 104\npublisher-place: London, UK\npublisher: International Inequalities Institute, London School of Economics and Political Science","title":"Does hotter temperature increase poverty and inequality? Global evidence from subnational data analysis","title-short":"Does hotter temperature increase poverty and inequality?","volume":"Policy Research Working Papers","author":[{"family":"Dang","given":"Hai-Anh H."},{"family":"Cong Nguyen","given":"Minh"},{"family":"Trinh","given":"Trong-Anh"}],"accessed":{"date-parts":[["2023",9,14]]},"issued":{"date-parts":[["2023",6]]}}}],"schema":"https://github.com/citation-style-language/schema/raw/master/csl-citation.json"} </w:instrText>
      </w:r>
      <w:r w:rsidRPr="009F6EBB">
        <w:rPr>
          <w:rFonts w:ascii="Open Sans" w:hAnsi="Open Sans" w:cs="Open Sans"/>
          <w:sz w:val="20"/>
          <w:szCs w:val="20"/>
        </w:rPr>
        <w:fldChar w:fldCharType="separate"/>
      </w:r>
      <w:r w:rsidRPr="006D4424">
        <w:rPr>
          <w:rFonts w:ascii="Open Sans" w:hAnsi="Open Sans" w:cs="Open Sans"/>
          <w:sz w:val="20"/>
        </w:rPr>
        <w:t>(Dang et al., 2023; Hallegatte and Walsh, 2021)</w:t>
      </w:r>
      <w:r w:rsidRPr="009F6EBB">
        <w:rPr>
          <w:rFonts w:ascii="Open Sans" w:hAnsi="Open Sans" w:cs="Open Sans"/>
          <w:sz w:val="20"/>
          <w:szCs w:val="20"/>
        </w:rPr>
        <w:fldChar w:fldCharType="end"/>
      </w:r>
      <w:r w:rsidRPr="009F6EBB">
        <w:rPr>
          <w:rFonts w:ascii="Open Sans" w:hAnsi="Open Sans" w:cs="Open Sans"/>
          <w:sz w:val="20"/>
          <w:szCs w:val="20"/>
        </w:rPr>
        <w:t>. There is ongoing work at the World Bank estimating how much historic and current national greenhouse gas emissions contribute to poverty globally</w:t>
      </w:r>
      <w:r w:rsidR="00D2715C">
        <w:rPr>
          <w:rFonts w:ascii="Open Sans" w:hAnsi="Open Sans" w:cs="Open Sans"/>
          <w:sz w:val="20"/>
          <w:szCs w:val="20"/>
        </w:rPr>
        <w:t>, by inc</w:t>
      </w:r>
      <w:r w:rsidR="00CD3FEE">
        <w:rPr>
          <w:rFonts w:ascii="Open Sans" w:hAnsi="Open Sans" w:cs="Open Sans"/>
          <w:sz w:val="20"/>
          <w:szCs w:val="20"/>
        </w:rPr>
        <w:t>orporating the externality of global temperature increases through national emissions</w:t>
      </w:r>
      <w:r w:rsidRPr="009F6EBB">
        <w:rPr>
          <w:rFonts w:ascii="Open Sans" w:hAnsi="Open Sans" w:cs="Open Sans"/>
          <w:sz w:val="20"/>
          <w:szCs w:val="20"/>
        </w:rPr>
        <w:t>.</w:t>
      </w:r>
    </w:p>
    <w:p w14:paraId="55A8FBC1" w14:textId="30CFACFE" w:rsidR="007A7BF4" w:rsidRDefault="007A7BF4" w:rsidP="00077757">
      <w:pPr>
        <w:spacing w:line="240" w:lineRule="auto"/>
        <w:jc w:val="both"/>
        <w:rPr>
          <w:rFonts w:ascii="Open Sans" w:hAnsi="Open Sans" w:cs="Open Sans"/>
          <w:sz w:val="20"/>
          <w:szCs w:val="20"/>
        </w:rPr>
      </w:pPr>
      <w:r w:rsidRPr="007A7BF4">
        <w:rPr>
          <w:rFonts w:ascii="Open Sans" w:hAnsi="Open Sans" w:cs="Open Sans"/>
          <w:sz w:val="20"/>
          <w:szCs w:val="20"/>
        </w:rPr>
        <w:lastRenderedPageBreak/>
        <w:t xml:space="preserve">The measurement challenges facing poverty, prosperity and planetary indicators are amplified when used to project future outcomes. These challenges can broadly be grouped into two </w:t>
      </w:r>
      <w:r w:rsidR="00C60138">
        <w:rPr>
          <w:rFonts w:ascii="Open Sans" w:hAnsi="Open Sans" w:cs="Open Sans"/>
          <w:sz w:val="20"/>
          <w:szCs w:val="20"/>
        </w:rPr>
        <w:t>categories</w:t>
      </w:r>
      <w:r w:rsidRPr="007A7BF4">
        <w:rPr>
          <w:rFonts w:ascii="Open Sans" w:hAnsi="Open Sans" w:cs="Open Sans"/>
          <w:sz w:val="20"/>
          <w:szCs w:val="20"/>
        </w:rPr>
        <w:t>. First</w:t>
      </w:r>
      <w:r w:rsidR="00C60138">
        <w:rPr>
          <w:rFonts w:ascii="Open Sans" w:hAnsi="Open Sans" w:cs="Open Sans"/>
          <w:sz w:val="20"/>
          <w:szCs w:val="20"/>
        </w:rPr>
        <w:t>,</w:t>
      </w:r>
      <w:r w:rsidRPr="007A7BF4">
        <w:rPr>
          <w:rFonts w:ascii="Open Sans" w:hAnsi="Open Sans" w:cs="Open Sans"/>
          <w:sz w:val="20"/>
          <w:szCs w:val="20"/>
        </w:rPr>
        <w:t xml:space="preserve"> is the uncertainty of modeling what will happen to future poverty and planetary indicators when considered in isolation. If countries’ incomes grow in accordance with the most optimistic scenarios in the </w:t>
      </w:r>
      <w:r w:rsidR="00B02C84">
        <w:rPr>
          <w:rFonts w:ascii="Open Sans" w:hAnsi="Open Sans" w:cs="Open Sans"/>
          <w:sz w:val="20"/>
          <w:szCs w:val="20"/>
        </w:rPr>
        <w:t xml:space="preserve">Shared </w:t>
      </w:r>
      <w:r w:rsidRPr="007A7BF4">
        <w:rPr>
          <w:rFonts w:ascii="Open Sans" w:hAnsi="Open Sans" w:cs="Open Sans"/>
          <w:sz w:val="20"/>
          <w:szCs w:val="20"/>
        </w:rPr>
        <w:t>Socioeconomic Pathways, then global extreme poverty, and even poverty at higher lines, will be eliminated within decades.</w:t>
      </w:r>
      <w:r w:rsidR="00206626" w:rsidRPr="005319E6">
        <w:rPr>
          <w:rStyle w:val="FootnoteReference"/>
        </w:rPr>
        <w:footnoteReference w:id="23"/>
      </w:r>
      <w:r w:rsidRPr="007A7BF4">
        <w:rPr>
          <w:rFonts w:ascii="Open Sans" w:hAnsi="Open Sans" w:cs="Open Sans"/>
          <w:sz w:val="20"/>
          <w:szCs w:val="20"/>
        </w:rPr>
        <w:t xml:space="preserve"> These projections have been criticized for being misaligned from historical experiences </w:t>
      </w:r>
      <w:r w:rsidR="00C419A3">
        <w:rPr>
          <w:rFonts w:ascii="Open Sans" w:hAnsi="Open Sans" w:cs="Open Sans"/>
          <w:sz w:val="20"/>
          <w:szCs w:val="20"/>
        </w:rPr>
        <w:fldChar w:fldCharType="begin"/>
      </w:r>
      <w:r w:rsidR="00C419A3">
        <w:rPr>
          <w:rFonts w:ascii="Open Sans" w:hAnsi="Open Sans" w:cs="Open Sans"/>
          <w:sz w:val="20"/>
          <w:szCs w:val="20"/>
        </w:rPr>
        <w:instrText xml:space="preserve"> ADDIN ZOTERO_ITEM CSL_CITATION {"citationID":"8HUmXid0","properties":{"formattedCitation":"(Welch, 2024)","plainCitation":"(Welch, 2024)","noteIndex":0},"citationItems":[{"id":1803,"uris":["http://zotero.org/groups/5125234/items/9ZTGV57N"],"itemData":{"id":1803,"type":"report","publisher":"National Bureau of Economic Research","title":"The IPCC Shared Socioeconomic Pathways (SSPs): Explained, Evaluated, Replaced","author":[{"family":"Welch","given":"Ivo"}],"issued":{"date-parts":[["2024"]]}}}],"schema":"https://github.com/citation-style-language/schema/raw/master/csl-citation.json"} </w:instrText>
      </w:r>
      <w:r w:rsidR="00C419A3">
        <w:rPr>
          <w:rFonts w:ascii="Open Sans" w:hAnsi="Open Sans" w:cs="Open Sans"/>
          <w:sz w:val="20"/>
          <w:szCs w:val="20"/>
        </w:rPr>
        <w:fldChar w:fldCharType="separate"/>
      </w:r>
      <w:r w:rsidR="00C419A3" w:rsidRPr="00C419A3">
        <w:rPr>
          <w:rFonts w:ascii="Open Sans" w:hAnsi="Open Sans" w:cs="Open Sans"/>
          <w:sz w:val="20"/>
        </w:rPr>
        <w:t>(Welch, 2024)</w:t>
      </w:r>
      <w:r w:rsidR="00C419A3">
        <w:rPr>
          <w:rFonts w:ascii="Open Sans" w:hAnsi="Open Sans" w:cs="Open Sans"/>
          <w:sz w:val="20"/>
          <w:szCs w:val="20"/>
        </w:rPr>
        <w:fldChar w:fldCharType="end"/>
      </w:r>
      <w:r w:rsidR="00610C5A">
        <w:rPr>
          <w:rFonts w:ascii="Open Sans" w:hAnsi="Open Sans" w:cs="Open Sans"/>
          <w:sz w:val="20"/>
          <w:szCs w:val="20"/>
        </w:rPr>
        <w:t xml:space="preserve">. This is </w:t>
      </w:r>
      <w:r w:rsidR="00870B10">
        <w:rPr>
          <w:rFonts w:ascii="Open Sans" w:hAnsi="Open Sans" w:cs="Open Sans"/>
          <w:sz w:val="20"/>
          <w:szCs w:val="20"/>
        </w:rPr>
        <w:t xml:space="preserve">most relevant </w:t>
      </w:r>
      <w:r w:rsidR="00610C5A">
        <w:rPr>
          <w:rFonts w:ascii="Open Sans" w:hAnsi="Open Sans" w:cs="Open Sans"/>
          <w:sz w:val="20"/>
          <w:szCs w:val="20"/>
        </w:rPr>
        <w:t xml:space="preserve">for low-income countries, where </w:t>
      </w:r>
      <w:r w:rsidR="0031632E">
        <w:rPr>
          <w:rFonts w:ascii="Open Sans" w:hAnsi="Open Sans" w:cs="Open Sans"/>
          <w:sz w:val="20"/>
          <w:szCs w:val="20"/>
        </w:rPr>
        <w:t xml:space="preserve">projected growth rates in the next decades exceed experienced growth </w:t>
      </w:r>
      <w:r w:rsidR="00FF3CB5">
        <w:rPr>
          <w:rFonts w:ascii="Open Sans" w:hAnsi="Open Sans" w:cs="Open Sans"/>
          <w:sz w:val="20"/>
          <w:szCs w:val="20"/>
        </w:rPr>
        <w:t>rates by several orders of magnitude.</w:t>
      </w:r>
      <w:r w:rsidRPr="007A7BF4">
        <w:rPr>
          <w:rFonts w:ascii="Open Sans" w:hAnsi="Open Sans" w:cs="Open Sans"/>
          <w:sz w:val="20"/>
          <w:szCs w:val="20"/>
        </w:rPr>
        <w:t xml:space="preserve"> </w:t>
      </w:r>
      <w:r w:rsidR="00FF3CB5">
        <w:rPr>
          <w:rFonts w:ascii="Open Sans" w:hAnsi="Open Sans" w:cs="Open Sans"/>
          <w:sz w:val="20"/>
          <w:szCs w:val="20"/>
        </w:rPr>
        <w:t>I</w:t>
      </w:r>
      <w:r w:rsidRPr="007A7BF4">
        <w:rPr>
          <w:rFonts w:ascii="Open Sans" w:hAnsi="Open Sans" w:cs="Open Sans"/>
          <w:sz w:val="20"/>
          <w:szCs w:val="20"/>
        </w:rPr>
        <w:t xml:space="preserve">f historical growth performances will continue in the coming decades, then extreme poverty is unlikely to fall drastically in the coming decades (see Chapter 1). Global emissions may likewise evolve on very different paths depending on the continued use of fossil fuels and the adoption of mitigation policies. </w:t>
      </w:r>
    </w:p>
    <w:p w14:paraId="72C6CE57" w14:textId="3DE61CF4" w:rsidR="00197DD1" w:rsidRPr="00197DD1" w:rsidRDefault="00197DD1" w:rsidP="00077757">
      <w:pPr>
        <w:spacing w:line="240" w:lineRule="auto"/>
        <w:jc w:val="both"/>
        <w:rPr>
          <w:rFonts w:ascii="Open Sans" w:hAnsi="Open Sans" w:cs="Open Sans"/>
          <w:b/>
          <w:sz w:val="20"/>
          <w:szCs w:val="20"/>
        </w:rPr>
      </w:pPr>
      <w:commentRangeStart w:id="21"/>
      <w:commentRangeStart w:id="22"/>
      <w:r w:rsidRPr="005319E6">
        <w:rPr>
          <w:rFonts w:ascii="Open Sans" w:hAnsi="Open Sans" w:cs="Open Sans"/>
          <w:b/>
          <w:sz w:val="20"/>
          <w:szCs w:val="20"/>
        </w:rPr>
        <w:t xml:space="preserve">Figure </w:t>
      </w:r>
      <w:commentRangeEnd w:id="21"/>
      <w:r w:rsidR="00D00181">
        <w:rPr>
          <w:rStyle w:val="CommentReference"/>
          <w:kern w:val="0"/>
          <w14:ligatures w14:val="none"/>
        </w:rPr>
        <w:commentReference w:id="21"/>
      </w:r>
      <w:commentRangeEnd w:id="22"/>
      <w:r w:rsidR="00DA74E5">
        <w:rPr>
          <w:rStyle w:val="CommentReference"/>
          <w:kern w:val="0"/>
          <w14:ligatures w14:val="none"/>
        </w:rPr>
        <w:commentReference w:id="22"/>
      </w:r>
      <w:r>
        <w:rPr>
          <w:rFonts w:ascii="Open Sans" w:hAnsi="Open Sans" w:cs="Open Sans"/>
          <w:b/>
          <w:bCs/>
          <w:sz w:val="20"/>
          <w:szCs w:val="20"/>
        </w:rPr>
        <w:t>4</w:t>
      </w:r>
      <w:r w:rsidRPr="005319E6">
        <w:rPr>
          <w:rFonts w:ascii="Open Sans" w:hAnsi="Open Sans" w:cs="Open Sans"/>
          <w:b/>
          <w:sz w:val="20"/>
          <w:szCs w:val="20"/>
        </w:rPr>
        <w:t xml:space="preserve">: </w:t>
      </w:r>
      <w:r>
        <w:rPr>
          <w:rFonts w:ascii="Open Sans" w:hAnsi="Open Sans" w:cs="Open Sans"/>
          <w:b/>
          <w:sz w:val="20"/>
          <w:szCs w:val="20"/>
        </w:rPr>
        <w:t xml:space="preserve">Projections in GDP per capita vary significantly between SSP </w:t>
      </w:r>
      <w:proofErr w:type="gramStart"/>
      <w:r>
        <w:rPr>
          <w:rFonts w:ascii="Open Sans" w:hAnsi="Open Sans" w:cs="Open Sans"/>
          <w:b/>
          <w:sz w:val="20"/>
          <w:szCs w:val="20"/>
        </w:rPr>
        <w:t>scenarios</w:t>
      </w:r>
      <w:proofErr w:type="gramEnd"/>
    </w:p>
    <w:p w14:paraId="663C047F" w14:textId="21290EA3" w:rsidR="00197DD1" w:rsidRDefault="00197DD1" w:rsidP="00077757">
      <w:pPr>
        <w:spacing w:line="240" w:lineRule="auto"/>
        <w:jc w:val="both"/>
        <w:rPr>
          <w:rFonts w:ascii="Open Sans" w:hAnsi="Open Sans" w:cs="Open Sans"/>
          <w:sz w:val="20"/>
          <w:szCs w:val="20"/>
        </w:rPr>
      </w:pPr>
      <w:r>
        <w:rPr>
          <w:noProof/>
        </w:rPr>
        <w:drawing>
          <wp:inline distT="0" distB="0" distL="0" distR="0" wp14:anchorId="3F233EC9" wp14:editId="32AD3F87">
            <wp:extent cx="5200650" cy="2743200"/>
            <wp:effectExtent l="0" t="0" r="0" b="0"/>
            <wp:docPr id="1" name="Chart 1">
              <a:extLst xmlns:a="http://schemas.openxmlformats.org/drawingml/2006/main">
                <a:ext uri="{FF2B5EF4-FFF2-40B4-BE49-F238E27FC236}">
                  <a16:creationId xmlns:a16="http://schemas.microsoft.com/office/drawing/2014/main" id="{CD020022-5CA0-D256-E368-C092ACB9D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07219C" w14:textId="638183BC" w:rsidR="00034A8A" w:rsidRPr="00BF0E0B" w:rsidRDefault="00197DD1" w:rsidP="00034A8A">
      <w:pPr>
        <w:spacing w:line="240" w:lineRule="auto"/>
        <w:rPr>
          <w:rFonts w:ascii="Open Sans" w:hAnsi="Open Sans" w:cs="Open Sans"/>
          <w:sz w:val="18"/>
          <w:szCs w:val="18"/>
        </w:rPr>
      </w:pPr>
      <w:r w:rsidRPr="00BF0E0B">
        <w:rPr>
          <w:rFonts w:ascii="Open Sans" w:hAnsi="Open Sans" w:cs="Open Sans"/>
          <w:sz w:val="18"/>
          <w:szCs w:val="18"/>
        </w:rPr>
        <w:t xml:space="preserve">Source: </w:t>
      </w:r>
      <w:r w:rsidR="00034A8A" w:rsidRPr="00BF0E0B">
        <w:rPr>
          <w:rFonts w:ascii="Open Sans" w:hAnsi="Open Sans" w:cs="Open Sans"/>
          <w:sz w:val="18"/>
          <w:szCs w:val="18"/>
        </w:rPr>
        <w:t xml:space="preserve">World Bank calculations based on </w:t>
      </w:r>
      <w:r w:rsidR="00543F38" w:rsidRPr="00BF0E0B">
        <w:rPr>
          <w:rFonts w:ascii="Open Sans" w:hAnsi="Open Sans" w:cs="Open Sans"/>
          <w:sz w:val="18"/>
          <w:szCs w:val="18"/>
        </w:rPr>
        <w:t xml:space="preserve">SSP projection data, </w:t>
      </w:r>
      <w:r w:rsidR="0004407A" w:rsidRPr="00BF0E0B">
        <w:rPr>
          <w:rFonts w:ascii="Open Sans" w:hAnsi="Open Sans" w:cs="Open Sans"/>
          <w:sz w:val="18"/>
          <w:szCs w:val="18"/>
        </w:rPr>
        <w:t xml:space="preserve">accessed through the </w:t>
      </w:r>
      <w:r w:rsidR="00994CE1" w:rsidRPr="00BF0E0B">
        <w:rPr>
          <w:rFonts w:ascii="Open Sans" w:hAnsi="Open Sans" w:cs="Open Sans"/>
          <w:sz w:val="18"/>
          <w:szCs w:val="18"/>
        </w:rPr>
        <w:t>IIASA SSP Scenario Explorer 3.0.1.</w:t>
      </w:r>
      <w:r w:rsidR="00034A8A" w:rsidRPr="00BF0E0B">
        <w:rPr>
          <w:rFonts w:ascii="Open Sans" w:hAnsi="Open Sans" w:cs="Open Sans"/>
          <w:sz w:val="18"/>
          <w:szCs w:val="18"/>
        </w:rPr>
        <w:br/>
        <w:t>Note</w:t>
      </w:r>
      <w:r w:rsidR="00994CE1" w:rsidRPr="00BF0E0B">
        <w:rPr>
          <w:rFonts w:ascii="Open Sans" w:hAnsi="Open Sans" w:cs="Open Sans"/>
          <w:sz w:val="18"/>
          <w:szCs w:val="18"/>
        </w:rPr>
        <w:t xml:space="preserve">: </w:t>
      </w:r>
      <w:r w:rsidR="00D00181" w:rsidRPr="00BF0E0B">
        <w:rPr>
          <w:rFonts w:ascii="Open Sans" w:hAnsi="Open Sans" w:cs="Open Sans"/>
          <w:sz w:val="18"/>
          <w:szCs w:val="18"/>
        </w:rPr>
        <w:t xml:space="preserve">Each line represents the GDP per capita projection from one of the five SSP scenarios </w:t>
      </w:r>
      <w:r w:rsidR="005D6D08" w:rsidRPr="00BF0E0B">
        <w:rPr>
          <w:rFonts w:ascii="Open Sans" w:hAnsi="Open Sans" w:cs="Open Sans"/>
          <w:sz w:val="18"/>
          <w:szCs w:val="18"/>
        </w:rPr>
        <w:t xml:space="preserve">from either the </w:t>
      </w:r>
      <w:r w:rsidR="005E59AF" w:rsidRPr="00BF0E0B">
        <w:rPr>
          <w:rFonts w:ascii="Open Sans" w:hAnsi="Open Sans" w:cs="Open Sans"/>
          <w:sz w:val="18"/>
          <w:szCs w:val="18"/>
        </w:rPr>
        <w:t xml:space="preserve">IIASA model </w:t>
      </w:r>
      <w:r w:rsidR="00422663" w:rsidRPr="00BF0E0B">
        <w:rPr>
          <w:rFonts w:ascii="Open Sans" w:hAnsi="Open Sans" w:cs="Open Sans"/>
          <w:sz w:val="18"/>
          <w:szCs w:val="18"/>
        </w:rPr>
        <w:fldChar w:fldCharType="begin"/>
      </w:r>
      <w:r w:rsidR="00422663" w:rsidRPr="00BF0E0B">
        <w:rPr>
          <w:rFonts w:ascii="Open Sans" w:hAnsi="Open Sans" w:cs="Open Sans"/>
          <w:sz w:val="18"/>
          <w:szCs w:val="18"/>
        </w:rPr>
        <w:instrText xml:space="preserve"> ADDIN ZOTERO_ITEM CSL_CITATION {"citationID":"NrRwANB9","properties":{"formattedCitation":"(Crespo Cuaresma, 2017)","plainCitation":"(Crespo Cuaresma, 2017)","noteIndex":0},"citationItems":[{"id":1815,"uris":["http://zotero.org/groups/5125234/items/M2XP43CE"],"itemData":{"id":1815,"type":"article-journal","abstract":"The quantitative assessment of the global effects of climate change requires the construction of income projections spanning large time horizons. Exploiting the robust link between educational attainment, age structure dynamics and economic growth, we use population projections by age, sex and educational attainment to obtain income per capita paths to the year 2100 for 144 countries. Such a framework offers a powerful, consistent methodology which can be used to study the future environmental challenges and to address potential policy reactions.","container-title":"Global Environmental Change","DOI":"10.1016/j.gloenvcha.2015.02.012","ISSN":"0959-3780","journalAbbreviation":"Global Environmental Change","page":"226-236","source":"ScienceDirect","title":"Income projections for climate change research: A framework based on human capital dynamics","title-short":"Income projections for climate change research","volume":"42","author":[{"family":"Crespo Cuaresma","given":"Jesús"}],"issued":{"date-parts":[["2017",1,1]]}}}],"schema":"https://github.com/citation-style-language/schema/raw/master/csl-citation.json"} </w:instrText>
      </w:r>
      <w:r w:rsidR="00422663" w:rsidRPr="00BF0E0B">
        <w:rPr>
          <w:rFonts w:ascii="Open Sans" w:hAnsi="Open Sans" w:cs="Open Sans"/>
          <w:sz w:val="18"/>
          <w:szCs w:val="18"/>
        </w:rPr>
        <w:fldChar w:fldCharType="separate"/>
      </w:r>
      <w:r w:rsidR="00422663" w:rsidRPr="00BF0E0B">
        <w:rPr>
          <w:rFonts w:ascii="Open Sans" w:hAnsi="Open Sans" w:cs="Open Sans"/>
          <w:sz w:val="18"/>
          <w:szCs w:val="20"/>
        </w:rPr>
        <w:t>(Crespo Cuaresma, 2017)</w:t>
      </w:r>
      <w:r w:rsidR="00422663" w:rsidRPr="00BF0E0B">
        <w:rPr>
          <w:rFonts w:ascii="Open Sans" w:hAnsi="Open Sans" w:cs="Open Sans"/>
          <w:sz w:val="18"/>
          <w:szCs w:val="18"/>
        </w:rPr>
        <w:fldChar w:fldCharType="end"/>
      </w:r>
      <w:r w:rsidR="005E59AF" w:rsidRPr="00BF0E0B">
        <w:rPr>
          <w:rFonts w:ascii="Open Sans" w:hAnsi="Open Sans" w:cs="Open Sans"/>
          <w:sz w:val="18"/>
          <w:szCs w:val="18"/>
        </w:rPr>
        <w:t xml:space="preserve"> or </w:t>
      </w:r>
      <w:r w:rsidR="003D0FB6" w:rsidRPr="00BF0E0B">
        <w:rPr>
          <w:rFonts w:ascii="Open Sans" w:hAnsi="Open Sans" w:cs="Open Sans"/>
          <w:sz w:val="18"/>
          <w:szCs w:val="18"/>
        </w:rPr>
        <w:t xml:space="preserve">by the OECD model </w:t>
      </w:r>
      <w:r w:rsidR="000D0145" w:rsidRPr="00BF0E0B">
        <w:rPr>
          <w:rFonts w:ascii="Open Sans" w:hAnsi="Open Sans" w:cs="Open Sans"/>
          <w:sz w:val="18"/>
          <w:szCs w:val="18"/>
        </w:rPr>
        <w:fldChar w:fldCharType="begin"/>
      </w:r>
      <w:r w:rsidR="000D0145" w:rsidRPr="00BF0E0B">
        <w:rPr>
          <w:rFonts w:ascii="Open Sans" w:hAnsi="Open Sans" w:cs="Open Sans"/>
          <w:sz w:val="18"/>
          <w:szCs w:val="18"/>
        </w:rPr>
        <w:instrText xml:space="preserve"> ADDIN ZOTERO_ITEM CSL_CITATION {"citationID":"NbYN0tHi","properties":{"formattedCitation":"(Dellink et al., 2017)","plainCitation":"(Dellink et al., 2017)","noteIndex":0},"citationItems":[{"id":1818,"uris":["http://zotero.org/groups/5125234/items/WPEK6ZHE"],"itemData":{"id":1818,"type":"article-journal","abstract":"Long-term economic scenarios (up to 2100) are needed as a basis to explore possible different futures for major environmental challenges, including climate change. Given the high level of uncertainty involved, such scenarios would need to span a wide range of possible growth trajectories. The recently developed storylines of the Shared Socioeconomic Pathways (SSPs) provide a basis for making such projections. This paper describes a consistent methodology to derive (per capita) GDP trend pathways on a country basis. The methodology is based on a convergence process and places emphasis on the key drivers of economic growth in the long run: population, total factor productivity, physical capital, employment and human capital, and energy and fossil fuel resources (specifically oil and gas). The paper uses this methodology to derive country-level economic growth projections for 184 countries. The paper also investigates the influence of short-term growth rate estimates on the long-term income levels in various countries. It does so by comparing long-term projections based on short-term forecasts from 2011 with the projections based on forecasts from 2013. This highlights the effects of the recent economic crisis and uncertainty in short term developments on longer term growth trends. The projections are subject to large uncertainties, particularly for the later decades, and disregard a wide range of country-specific drivers of economic growth that are outside the narrow economic framework, such as external shocks, governance barriers and feedbacks from environmental damage. Hence, they should be interpreted with sufficient care and not be treated as predictions.","container-title":"Global Environmental Change","DOI":"10.1016/j.gloenvcha.2015.06.004","ISSN":"0959-3780","journalAbbreviation":"Global Environmental Change","page":"200-214","source":"ScienceDirect","title":"Long-term economic growth projections in the Shared Socioeconomic Pathways","volume":"42","author":[{"family":"Dellink","given":"Rob"},{"family":"Chateau","given":"Jean"},{"family":"Lanzi","given":"Elisa"},{"family":"Magné","given":"Bertrand"}],"issued":{"date-parts":[["2017",1,1]]}}}],"schema":"https://github.com/citation-style-language/schema/raw/master/csl-citation.json"} </w:instrText>
      </w:r>
      <w:r w:rsidR="000D0145" w:rsidRPr="00BF0E0B">
        <w:rPr>
          <w:rFonts w:ascii="Open Sans" w:hAnsi="Open Sans" w:cs="Open Sans"/>
          <w:sz w:val="18"/>
          <w:szCs w:val="18"/>
        </w:rPr>
        <w:fldChar w:fldCharType="separate"/>
      </w:r>
      <w:r w:rsidR="000D0145" w:rsidRPr="00BF0E0B">
        <w:rPr>
          <w:rFonts w:ascii="Open Sans" w:hAnsi="Open Sans" w:cs="Open Sans"/>
          <w:sz w:val="18"/>
          <w:szCs w:val="20"/>
        </w:rPr>
        <w:t>(Dellink et al., 2017)</w:t>
      </w:r>
      <w:r w:rsidR="000D0145" w:rsidRPr="00BF0E0B">
        <w:rPr>
          <w:rFonts w:ascii="Open Sans" w:hAnsi="Open Sans" w:cs="Open Sans"/>
          <w:sz w:val="18"/>
          <w:szCs w:val="18"/>
        </w:rPr>
        <w:fldChar w:fldCharType="end"/>
      </w:r>
      <w:r w:rsidR="000D0145" w:rsidRPr="00BF0E0B">
        <w:rPr>
          <w:rFonts w:ascii="Open Sans" w:hAnsi="Open Sans" w:cs="Open Sans"/>
          <w:sz w:val="18"/>
          <w:szCs w:val="18"/>
        </w:rPr>
        <w:t>.</w:t>
      </w:r>
    </w:p>
    <w:p w14:paraId="4ECEF361" w14:textId="263BC5ED" w:rsidR="007A7BF4" w:rsidRPr="007A7BF4" w:rsidRDefault="007A7BF4" w:rsidP="00077757">
      <w:pPr>
        <w:spacing w:line="240" w:lineRule="auto"/>
        <w:jc w:val="both"/>
        <w:rPr>
          <w:rFonts w:ascii="Open Sans" w:hAnsi="Open Sans" w:cs="Open Sans"/>
          <w:sz w:val="20"/>
          <w:szCs w:val="20"/>
        </w:rPr>
      </w:pPr>
      <w:r w:rsidRPr="007A7BF4">
        <w:rPr>
          <w:rFonts w:ascii="Open Sans" w:hAnsi="Open Sans" w:cs="Open Sans"/>
          <w:sz w:val="20"/>
          <w:szCs w:val="20"/>
        </w:rPr>
        <w:t>The second</w:t>
      </w:r>
      <w:r w:rsidRPr="007A7BF4" w:rsidDel="00D26684">
        <w:rPr>
          <w:rFonts w:ascii="Open Sans" w:hAnsi="Open Sans" w:cs="Open Sans"/>
          <w:sz w:val="20"/>
          <w:szCs w:val="20"/>
        </w:rPr>
        <w:t xml:space="preserve"> </w:t>
      </w:r>
      <w:r w:rsidR="00D26684">
        <w:rPr>
          <w:rFonts w:ascii="Open Sans" w:hAnsi="Open Sans" w:cs="Open Sans"/>
          <w:sz w:val="20"/>
          <w:szCs w:val="20"/>
        </w:rPr>
        <w:t>category</w:t>
      </w:r>
      <w:r w:rsidRPr="007A7BF4">
        <w:rPr>
          <w:rFonts w:ascii="Open Sans" w:hAnsi="Open Sans" w:cs="Open Sans"/>
          <w:sz w:val="20"/>
          <w:szCs w:val="20"/>
        </w:rPr>
        <w:t xml:space="preserve"> of uncertainty emerges when analyzing the interdependence between poverty, prosperity, and planetary indicators. Studies on the future economic damages of global warming vary drastically in their conclusions. Burke et al. (2015) find that global GDP could be reduced by 20-30</w:t>
      </w:r>
      <w:r w:rsidR="00EE7EC2">
        <w:rPr>
          <w:rFonts w:ascii="Open Sans" w:hAnsi="Open Sans" w:cs="Open Sans"/>
          <w:sz w:val="20"/>
          <w:szCs w:val="20"/>
        </w:rPr>
        <w:t xml:space="preserve"> percent</w:t>
      </w:r>
      <w:r w:rsidRPr="007A7BF4">
        <w:rPr>
          <w:rFonts w:ascii="Open Sans" w:hAnsi="Open Sans" w:cs="Open Sans"/>
          <w:sz w:val="20"/>
          <w:szCs w:val="20"/>
        </w:rPr>
        <w:t xml:space="preserve"> by the end of the century, while Nordhaus (1992) suggests a reduction of 2-3</w:t>
      </w:r>
      <w:r w:rsidR="00EE7EC2">
        <w:rPr>
          <w:rFonts w:ascii="Open Sans" w:hAnsi="Open Sans" w:cs="Open Sans"/>
          <w:sz w:val="20"/>
          <w:szCs w:val="20"/>
        </w:rPr>
        <w:t xml:space="preserve"> percent</w:t>
      </w:r>
      <w:r w:rsidRPr="007A7BF4">
        <w:rPr>
          <w:rFonts w:ascii="Open Sans" w:hAnsi="Open Sans" w:cs="Open Sans"/>
          <w:sz w:val="20"/>
          <w:szCs w:val="20"/>
        </w:rPr>
        <w:t xml:space="preserve"> in a no abatement scenario. Newell et al. (2021) run 800 plausible models linking temperature to GDP and find that global </w:t>
      </w:r>
      <w:commentRangeStart w:id="24"/>
      <w:r w:rsidRPr="007A7BF4">
        <w:rPr>
          <w:rFonts w:ascii="Open Sans" w:hAnsi="Open Sans" w:cs="Open Sans"/>
          <w:sz w:val="20"/>
          <w:szCs w:val="20"/>
        </w:rPr>
        <w:t xml:space="preserve">GDP losses in the best performing models range from 84% to 359% gains. </w:t>
      </w:r>
      <w:commentRangeEnd w:id="24"/>
      <w:r w:rsidR="00CB5F09" w:rsidRPr="00077757">
        <w:rPr>
          <w:rStyle w:val="CommentReference"/>
          <w:rFonts w:ascii="Open Sans" w:hAnsi="Open Sans" w:cs="Open Sans"/>
          <w:kern w:val="0"/>
          <w14:ligatures w14:val="none"/>
        </w:rPr>
        <w:commentReference w:id="24"/>
      </w:r>
      <w:r w:rsidRPr="007A7BF4">
        <w:rPr>
          <w:rFonts w:ascii="Open Sans" w:hAnsi="Open Sans" w:cs="Open Sans"/>
          <w:sz w:val="20"/>
          <w:szCs w:val="20"/>
        </w:rPr>
        <w:t xml:space="preserve">To these uncertainties should be added the uncertainties regarding the within-country distributional impact of temperature changes, as well as the many other impacts of climate change related to extreme weather events, such as tipping points and sea-level rise. </w:t>
      </w:r>
      <w:r w:rsidR="000D0746">
        <w:rPr>
          <w:rFonts w:ascii="Open Sans" w:hAnsi="Open Sans" w:cs="Open Sans"/>
          <w:sz w:val="20"/>
          <w:szCs w:val="20"/>
        </w:rPr>
        <w:t xml:space="preserve">Modelling human behavior </w:t>
      </w:r>
      <w:r w:rsidR="00337499">
        <w:rPr>
          <w:rFonts w:ascii="Open Sans" w:hAnsi="Open Sans" w:cs="Open Sans"/>
          <w:sz w:val="20"/>
          <w:szCs w:val="20"/>
        </w:rPr>
        <w:t xml:space="preserve">and adaptation, </w:t>
      </w:r>
      <w:r w:rsidR="00337499">
        <w:rPr>
          <w:rFonts w:ascii="Open Sans" w:hAnsi="Open Sans" w:cs="Open Sans"/>
          <w:sz w:val="20"/>
          <w:szCs w:val="20"/>
        </w:rPr>
        <w:lastRenderedPageBreak/>
        <w:t xml:space="preserve">as well as changes in policies is near to impossible, but will have a crucial impact on </w:t>
      </w:r>
      <w:r w:rsidR="002123B8">
        <w:rPr>
          <w:rFonts w:ascii="Open Sans" w:hAnsi="Open Sans" w:cs="Open Sans"/>
          <w:sz w:val="20"/>
          <w:szCs w:val="20"/>
        </w:rPr>
        <w:t>planetary outcomes and on how these planetary factors translate in poverty and prosperity.</w:t>
      </w:r>
    </w:p>
    <w:p w14:paraId="745BA907" w14:textId="24EC9B1E" w:rsidR="007A7BF4" w:rsidRPr="007A7BF4" w:rsidRDefault="007A7BF4" w:rsidP="00077757">
      <w:pPr>
        <w:spacing w:line="240" w:lineRule="auto"/>
        <w:jc w:val="both"/>
        <w:rPr>
          <w:rFonts w:ascii="Open Sans" w:hAnsi="Open Sans" w:cs="Open Sans"/>
          <w:sz w:val="20"/>
          <w:szCs w:val="20"/>
        </w:rPr>
      </w:pPr>
      <w:r w:rsidRPr="007A7BF4">
        <w:rPr>
          <w:rFonts w:ascii="Open Sans" w:hAnsi="Open Sans" w:cs="Open Sans"/>
          <w:sz w:val="20"/>
          <w:szCs w:val="20"/>
        </w:rPr>
        <w:t xml:space="preserve">When </w:t>
      </w:r>
      <w:r w:rsidR="00822D11">
        <w:rPr>
          <w:rFonts w:ascii="Open Sans" w:hAnsi="Open Sans" w:cs="Open Sans"/>
          <w:sz w:val="20"/>
          <w:szCs w:val="20"/>
        </w:rPr>
        <w:t>t</w:t>
      </w:r>
      <w:r w:rsidRPr="007A7BF4">
        <w:rPr>
          <w:rFonts w:ascii="Open Sans" w:hAnsi="Open Sans" w:cs="Open Sans"/>
          <w:sz w:val="20"/>
          <w:szCs w:val="20"/>
        </w:rPr>
        <w:t>hese two uncertainties</w:t>
      </w:r>
      <w:r w:rsidR="00822D11">
        <w:rPr>
          <w:rFonts w:ascii="Open Sans" w:hAnsi="Open Sans" w:cs="Open Sans"/>
          <w:sz w:val="20"/>
          <w:szCs w:val="20"/>
        </w:rPr>
        <w:t xml:space="preserve"> are compounded</w:t>
      </w:r>
      <w:r w:rsidRPr="007A7BF4">
        <w:rPr>
          <w:rFonts w:ascii="Open Sans" w:hAnsi="Open Sans" w:cs="Open Sans"/>
          <w:sz w:val="20"/>
          <w:szCs w:val="20"/>
        </w:rPr>
        <w:t xml:space="preserve"> – the uncertainties related to what will happen to poverty and emissions in the future, and uncertainty in modelling the interaction between them -- the range of possible future outcomes is massive. According to one paper that addressed parts of these uncertainties, the impacts of climate change on extreme poverty in 2070 could </w:t>
      </w:r>
      <w:r w:rsidR="00B256DD">
        <w:rPr>
          <w:rFonts w:ascii="Open Sans" w:hAnsi="Open Sans" w:cs="Open Sans"/>
          <w:sz w:val="20"/>
          <w:szCs w:val="20"/>
        </w:rPr>
        <w:t xml:space="preserve">be </w:t>
      </w:r>
      <w:r w:rsidRPr="007A7BF4">
        <w:rPr>
          <w:rFonts w:ascii="Open Sans" w:hAnsi="Open Sans" w:cs="Open Sans"/>
          <w:sz w:val="20"/>
          <w:szCs w:val="20"/>
        </w:rPr>
        <w:t xml:space="preserve">anywhere </w:t>
      </w:r>
      <w:r w:rsidR="00B256DD">
        <w:rPr>
          <w:rFonts w:ascii="Open Sans" w:hAnsi="Open Sans" w:cs="Open Sans"/>
          <w:sz w:val="20"/>
          <w:szCs w:val="20"/>
        </w:rPr>
        <w:t xml:space="preserve">between </w:t>
      </w:r>
      <w:r w:rsidRPr="007A7BF4">
        <w:rPr>
          <w:rFonts w:ascii="Open Sans" w:hAnsi="Open Sans" w:cs="Open Sans"/>
          <w:sz w:val="20"/>
          <w:szCs w:val="20"/>
        </w:rPr>
        <w:t>4 million to 306 million (Moyer et al. 2023). A direct result of this uncertainty is a large variance in the social cost of carbon, which is a frequent input to loss and damage calculations and cost-benefit analysis of current mitigation policies. It is vital that work continues to reduce the range of these uncertainties.</w:t>
      </w:r>
    </w:p>
    <w:p w14:paraId="6AFAE852" w14:textId="77777777" w:rsidR="00627885" w:rsidRPr="00077757" w:rsidRDefault="00627885" w:rsidP="00077757">
      <w:pPr>
        <w:spacing w:line="240" w:lineRule="auto"/>
        <w:rPr>
          <w:rFonts w:ascii="Open Sans" w:hAnsi="Open Sans" w:cs="Open Sans"/>
        </w:rPr>
      </w:pPr>
    </w:p>
    <w:p w14:paraId="49CB9E3A" w14:textId="785BCA2E" w:rsidR="00627885" w:rsidRPr="00693DE0" w:rsidRDefault="00627885" w:rsidP="004C7C08">
      <w:pPr>
        <w:pStyle w:val="Heading1"/>
        <w:spacing w:after="120" w:line="240" w:lineRule="auto"/>
        <w:ind w:left="432" w:hanging="432"/>
        <w:jc w:val="both"/>
        <w:rPr>
          <w:rFonts w:ascii="Open Sans" w:hAnsi="Open Sans"/>
          <w:b/>
          <w:sz w:val="20"/>
          <w:lang w:val="de-DE"/>
        </w:rPr>
      </w:pPr>
      <w:r w:rsidRPr="00693DE0">
        <w:rPr>
          <w:rFonts w:ascii="Open Sans" w:hAnsi="Open Sans"/>
          <w:b/>
          <w:sz w:val="20"/>
          <w:lang w:val="de-DE"/>
        </w:rPr>
        <w:t>References</w:t>
      </w:r>
    </w:p>
    <w:p w14:paraId="0B89339A" w14:textId="77777777" w:rsidR="00E133FD" w:rsidRPr="00693DE0" w:rsidRDefault="00603D2E" w:rsidP="00E133FD">
      <w:pPr>
        <w:pStyle w:val="Bibliography"/>
        <w:rPr>
          <w:lang w:val="pt-BR"/>
        </w:rPr>
      </w:pPr>
      <w:r w:rsidRPr="00077757">
        <w:rPr>
          <w:rFonts w:ascii="Open Sans" w:hAnsi="Open Sans" w:cs="Open Sans"/>
          <w:sz w:val="20"/>
          <w:szCs w:val="20"/>
        </w:rPr>
        <w:fldChar w:fldCharType="begin"/>
      </w:r>
      <w:r w:rsidR="006D4424" w:rsidRPr="00077757">
        <w:rPr>
          <w:rFonts w:ascii="Open Sans" w:hAnsi="Open Sans" w:cs="Open Sans"/>
          <w:sz w:val="20"/>
          <w:szCs w:val="20"/>
          <w:lang w:val="de-DE"/>
        </w:rPr>
        <w:instrText xml:space="preserve"> ADDIN ZOTERO_BIBL {"uncited":[],"omitted":[],"custom":[]} CSL_BIBLIOGRAPHY </w:instrText>
      </w:r>
      <w:r w:rsidRPr="00077757">
        <w:rPr>
          <w:rFonts w:ascii="Open Sans" w:hAnsi="Open Sans" w:cs="Open Sans"/>
          <w:sz w:val="20"/>
          <w:szCs w:val="20"/>
        </w:rPr>
        <w:fldChar w:fldCharType="separate"/>
      </w:r>
      <w:r w:rsidR="00E133FD" w:rsidRPr="009B25E0">
        <w:rPr>
          <w:lang w:val="de-DE"/>
        </w:rPr>
        <w:t xml:space="preserve">Abiona, O., Koppensteiner, M.F., 2018. </w:t>
      </w:r>
      <w:r w:rsidR="00E133FD">
        <w:t xml:space="preserve">The Impact of Household Shocks on Domestic Violence: Evidence from Tanzania. </w:t>
      </w:r>
      <w:r w:rsidR="00E133FD" w:rsidRPr="00693DE0">
        <w:rPr>
          <w:lang w:val="pt-BR"/>
        </w:rPr>
        <w:t>IZA Discussion Paper. https://doi.org/10.2139/ssrn.3301756</w:t>
      </w:r>
    </w:p>
    <w:p w14:paraId="298D5863" w14:textId="77777777" w:rsidR="00E133FD" w:rsidRDefault="00E133FD" w:rsidP="00E133FD">
      <w:pPr>
        <w:pStyle w:val="Bibliography"/>
      </w:pPr>
      <w:r w:rsidRPr="00693DE0">
        <w:rPr>
          <w:lang w:val="pt-BR"/>
        </w:rPr>
        <w:t xml:space="preserve">Alvaredo, F., Bourguignon, F., Ferreira, F.H.G., Lustig, N., 2023. </w:t>
      </w:r>
      <w:r>
        <w:t>Seventy-five years of measuring income inequality in Latin America.</w:t>
      </w:r>
    </w:p>
    <w:p w14:paraId="2E84A5B5" w14:textId="77777777" w:rsidR="00E133FD" w:rsidRDefault="00E133FD" w:rsidP="00E133FD">
      <w:pPr>
        <w:pStyle w:val="Bibliography"/>
      </w:pPr>
      <w:r>
        <w:t>Andree, B.P.J., Chamorro, A., Kraay, A., Spencer, P., Wang, D., 2020. Predicting food crises. World Bank Policy Research Working Paper No. 9412.</w:t>
      </w:r>
    </w:p>
    <w:p w14:paraId="31D5DF21" w14:textId="77777777" w:rsidR="00E133FD" w:rsidRDefault="00E133FD" w:rsidP="00E133FD">
      <w:pPr>
        <w:pStyle w:val="Bibliography"/>
      </w:pPr>
      <w:r>
        <w:t>Atkinson, A.B., Piketty, T., 2007. Top Incomes Over the Twentieth Century: A Contrast Between Continental European and English-Speaking Countries. Oxford University Press, New York.</w:t>
      </w:r>
    </w:p>
    <w:p w14:paraId="74DDCEAD" w14:textId="77777777" w:rsidR="00E133FD" w:rsidRDefault="00E133FD" w:rsidP="00E133FD">
      <w:pPr>
        <w:pStyle w:val="Bibliography"/>
      </w:pPr>
      <w:r>
        <w:t>Auten, G., Splinter, D., 2024. Income Inequality in the United States: Using Tax Data to Measure Long-Term Trends. Journal of Political Economy 000–000. https://doi.org/10.1086/728741</w:t>
      </w:r>
    </w:p>
    <w:p w14:paraId="7C4EACF1" w14:textId="77777777" w:rsidR="00E133FD" w:rsidRDefault="00E133FD" w:rsidP="00E133FD">
      <w:pPr>
        <w:pStyle w:val="Bibliography"/>
      </w:pPr>
      <w:r>
        <w:t>Blanchet, T., Chancel, L., 2016. National Accounts Series Methodology. WID.</w:t>
      </w:r>
    </w:p>
    <w:p w14:paraId="714DA18B" w14:textId="77777777" w:rsidR="00E133FD" w:rsidRDefault="00E133FD" w:rsidP="00E133FD">
      <w:pPr>
        <w:pStyle w:val="Bibliography"/>
      </w:pPr>
      <w:r>
        <w:t>Bloemendaal, N., Haigh, I.D., de Moel, H., Muis, S., Haarsma, R.J., Aerts, J.C.J.H., 2020. Generation of a global synthetic tropical cyclone hazard dataset using STORM. Sci Data 7, 40. https://doi.org/10.1038/s41597-020-0381-2</w:t>
      </w:r>
    </w:p>
    <w:p w14:paraId="4A3B4569" w14:textId="77777777" w:rsidR="00E133FD" w:rsidRDefault="00E133FD" w:rsidP="00E133FD">
      <w:pPr>
        <w:pStyle w:val="Bibliography"/>
      </w:pPr>
      <w:r>
        <w:t>Burkhauser, R.V., Hahn, M.H., Wilkins, R., 2015. Measuring top incomes using tax record data: a cautionary tale from Australia. J Econ Inequal 13, 181–205. https://doi.org/10.1007/s10888-014-9281-z</w:t>
      </w:r>
    </w:p>
    <w:p w14:paraId="5EE2A6FB" w14:textId="77777777" w:rsidR="00E133FD" w:rsidRDefault="00E133FD" w:rsidP="00E133FD">
      <w:pPr>
        <w:pStyle w:val="Bibliography"/>
      </w:pPr>
      <w:r>
        <w:t>Carleton, T., Jina, A., Delgado, M., Greenstone, M., Houser, T., Hsiang, S., Hultgren, A., Kopp, R.E., McCusker, K.E., Nath, I., Rising, J., Rode, A., Seo, H.K., Viaene, A., Yuan, J., Zhang, A.T., 2022. Valuing the Global Mortality Consequences of Climate Change Accounting for Adaptation Costs and Benefits*. The Quarterly Journal of Economics 137, 2037–2105. https://doi.org/10.1093/qje/qjac020</w:t>
      </w:r>
    </w:p>
    <w:p w14:paraId="382CE338" w14:textId="77777777" w:rsidR="00E133FD" w:rsidRDefault="00E133FD" w:rsidP="00E133FD">
      <w:pPr>
        <w:pStyle w:val="Bibliography"/>
      </w:pPr>
      <w:r>
        <w:t>Castaneda, R.A.A., Castillo, A., Devpura, N.P., Dewina, R., Diaz-Bonilla, C., Edochie, I., Farfan Bertran, M.G., Fernandez Romero, J., Foster, E., Fujs, T.H.M.J., Gonzalez Icaza, M.F., Jolliffe, D., Knippenberg, E.W., Krishnan, N., Lakner, C., Lara Ibarra, G., Lestani, D.G., Mahler, D.G., Montalvo Talledo, V.S., Montes, J., Nguyen, M.C., Olivieri, S., Paffhausen, A.L., Redaelli, S., Saavedra, T.B., Sanchez Castro, D.M., Tetteh-Baah, S.K., Viveros Mendoza, M.C., Wu, H., Yonzan, N., Yoshida, N., 2024. March 2024 Update to the Poverty and Inequality Platform (PIP): What’s New. Washington, DC: World Bank. https://doi.org/10.1596/41341</w:t>
      </w:r>
    </w:p>
    <w:p w14:paraId="2D15B4BC" w14:textId="77777777" w:rsidR="00E133FD" w:rsidRDefault="00E133FD" w:rsidP="00E133FD">
      <w:pPr>
        <w:pStyle w:val="Bibliography"/>
      </w:pPr>
      <w:r>
        <w:t xml:space="preserve">Castaneda, R.A.A., Dewina, R., Diaz-Bonilla, C., Edochie, I.N., Fujs, T.H.M.J., Jolliffe, D.M., Lain, J., Lakner, C., Ibarra, G.L., Mahler, D.G., Meyer, M., Montes, J., Herrera, L.L.M., Mungai, R., Newhouse, D.L., Nguyen, M.C., Castro, D.M.S., Schoch, M., Sousa, L.D., Tetteh-Baah, S.K., Uochi, I., Mendoza, M.C.V., Wu, H., Yonzan, N., Yoshida, N., 2022. April 2022 Update to the Poverty and Inequality </w:t>
      </w:r>
      <w:r>
        <w:lastRenderedPageBreak/>
        <w:t>Platform (PIP): What’s New (No. 20), Global Poverty Monitoring Technical Note Series. The World Bank.</w:t>
      </w:r>
    </w:p>
    <w:p w14:paraId="34C35E86" w14:textId="77777777" w:rsidR="00E133FD" w:rsidRDefault="00E133FD" w:rsidP="00E133FD">
      <w:pPr>
        <w:pStyle w:val="Bibliography"/>
      </w:pPr>
      <w:r>
        <w:t>Cevik, S., Gwon, G., 2024. This is Going to Hurt: Weather Anomalies, Supply Chain Pressures and Inflation. https://doi.org/10.5089/9798400273292.001</w:t>
      </w:r>
    </w:p>
    <w:p w14:paraId="460E066F" w14:textId="77777777" w:rsidR="00E133FD" w:rsidRDefault="00E133FD" w:rsidP="00E133FD">
      <w:pPr>
        <w:pStyle w:val="Bibliography"/>
      </w:pPr>
      <w:r>
        <w:t>Chin, M., 2021. What Are Global Public Goods? [WWW Document]. Finance &amp; Development. URL https://www.imf.org/en/Publications/fandd/issues/2021/12/Global-Public-Goods-Chin-basics (accessed 6.5.24).</w:t>
      </w:r>
    </w:p>
    <w:p w14:paraId="23199C4E" w14:textId="77777777" w:rsidR="00E133FD" w:rsidRDefault="00E133FD" w:rsidP="00E133FD">
      <w:pPr>
        <w:pStyle w:val="Bibliography"/>
      </w:pPr>
      <w:r>
        <w:t>Corral, P., Henderson, H., Segovia, S., 2023. Poverty mapping in the age of machine learning. World Bank Policy Research Working Paper No. 10429.</w:t>
      </w:r>
    </w:p>
    <w:p w14:paraId="288E16DB" w14:textId="77777777" w:rsidR="00E133FD" w:rsidRDefault="00E133FD" w:rsidP="00E133FD">
      <w:pPr>
        <w:pStyle w:val="Bibliography"/>
      </w:pPr>
      <w:r>
        <w:t>Corral, P., Molina, I., Cojocaru, A., Segovia, S., 2022. Guidelines to small area estimation for poverty mapping. Washington, DC: World Bank.</w:t>
      </w:r>
    </w:p>
    <w:p w14:paraId="6E0FA413" w14:textId="77777777" w:rsidR="00E133FD" w:rsidRDefault="00E133FD" w:rsidP="00E133FD">
      <w:pPr>
        <w:pStyle w:val="Bibliography"/>
      </w:pPr>
      <w:r>
        <w:t>Crespo Cuaresma, J., 2017. Income projections for climate change research: A framework based on human capital dynamics. Global Environmental Change 42, 226–236. https://doi.org/10.1016/j.gloenvcha.2015.02.012</w:t>
      </w:r>
    </w:p>
    <w:p w14:paraId="691668E8" w14:textId="77777777" w:rsidR="00E133FD" w:rsidRDefault="00E133FD" w:rsidP="00E133FD">
      <w:pPr>
        <w:pStyle w:val="Bibliography"/>
      </w:pPr>
      <w:r>
        <w:t>Crippa, M., Guizzardi, D., Schaaf, E., Monforti-Ferrario, F., Quadrelli, R., Risquez Martin, A., Rossi, S., Vignati, E., Muntean, M., Brandao De Melo, J., Oom, D., Pagani, F., Banja, M., Taghavi-Moharamli, P., Köykkä, J., Grassi, G., Branco, A., San-Miguel, J., 2023. GHG emissions of all world countries: 2023. Publications Office of the European Union.</w:t>
      </w:r>
    </w:p>
    <w:p w14:paraId="1BC37DCD" w14:textId="77777777" w:rsidR="00E133FD" w:rsidRDefault="00E133FD" w:rsidP="00E133FD">
      <w:pPr>
        <w:pStyle w:val="Bibliography"/>
      </w:pPr>
      <w:r>
        <w:t>Dabalen, A., Himelein, K., Castelan, C.R., 2020. Data for Policy (D4P) Initiative.</w:t>
      </w:r>
    </w:p>
    <w:p w14:paraId="35BDDC11" w14:textId="77777777" w:rsidR="00E133FD" w:rsidRDefault="00E133FD" w:rsidP="00E133FD">
      <w:pPr>
        <w:pStyle w:val="Bibliography"/>
      </w:pPr>
      <w:r>
        <w:t>Dang, H.-A.H., Cong Nguyen, M., Trinh, T.-A., 2023. Does hotter temperature increase poverty and inequality? Global evidence from subnational data analysis. World Bank Policy Research Working Papers Policy Research Working Papers. https://doi.org/10.1596/1813-9450-10466</w:t>
      </w:r>
    </w:p>
    <w:p w14:paraId="4FB053AA" w14:textId="77777777" w:rsidR="00E133FD" w:rsidRDefault="00E133FD" w:rsidP="00E133FD">
      <w:pPr>
        <w:pStyle w:val="Bibliography"/>
      </w:pPr>
      <w:proofErr w:type="spellStart"/>
      <w:r w:rsidRPr="00693DE0">
        <w:rPr>
          <w:lang w:val="fr-FR"/>
        </w:rPr>
        <w:t>Dellink</w:t>
      </w:r>
      <w:proofErr w:type="spellEnd"/>
      <w:r w:rsidRPr="00693DE0">
        <w:rPr>
          <w:lang w:val="fr-FR"/>
        </w:rPr>
        <w:t xml:space="preserve">, R., Chateau, J., </w:t>
      </w:r>
      <w:proofErr w:type="spellStart"/>
      <w:r w:rsidRPr="00693DE0">
        <w:rPr>
          <w:lang w:val="fr-FR"/>
        </w:rPr>
        <w:t>Lanzi</w:t>
      </w:r>
      <w:proofErr w:type="spellEnd"/>
      <w:r w:rsidRPr="00693DE0">
        <w:rPr>
          <w:lang w:val="fr-FR"/>
        </w:rPr>
        <w:t xml:space="preserve">, E., Magné, B., 2017. </w:t>
      </w:r>
      <w:r>
        <w:t>Long-term economic growth projections in the Shared Socioeconomic Pathways. Global Environmental Change 42, 200–214. https://doi.org/10.1016/j.gloenvcha.2015.06.004</w:t>
      </w:r>
    </w:p>
    <w:p w14:paraId="3A867248" w14:textId="77777777" w:rsidR="00E133FD" w:rsidRDefault="00E133FD" w:rsidP="00E133FD">
      <w:pPr>
        <w:pStyle w:val="Bibliography"/>
      </w:pPr>
      <w:r>
        <w:t>Doan, M.K., Hill, R., Hallegatte, S., Corral, P., Brunckhorst, B., Nguyen, M., Freije-Rodriguez, S., Naikal, E., 2023. Counting People Exposed to, Vulnerable to, or at High Risk From Climate Shocks: A Methodology. World Bank, Washington, DC. https://doi.org/10.1596/1813-9450-10619</w:t>
      </w:r>
    </w:p>
    <w:p w14:paraId="52DAFF9C" w14:textId="77777777" w:rsidR="00E133FD" w:rsidRDefault="00E133FD" w:rsidP="00E133FD">
      <w:pPr>
        <w:pStyle w:val="Bibliography"/>
      </w:pPr>
      <w:r>
        <w:t>Eastin, J., 2018. Climate change and gender equality in developing states. World Development 107, 289–305. https://doi.org/10.1016/j.worlddev.2018.02.021</w:t>
      </w:r>
    </w:p>
    <w:p w14:paraId="368CDA24" w14:textId="77777777" w:rsidR="00E133FD" w:rsidRDefault="00E133FD" w:rsidP="00E133FD">
      <w:pPr>
        <w:pStyle w:val="Bibliography"/>
      </w:pPr>
      <w:r>
        <w:t>Erman, A., De Vries Robbé, S.A., Fabian Thies, S., Kabir, K., Maruo, M., 2021. Gender Dimensions of Disaster Risk and Resilience : Existing Evidence (Technical Report). World Bank.</w:t>
      </w:r>
    </w:p>
    <w:p w14:paraId="54996215" w14:textId="77777777" w:rsidR="00E133FD" w:rsidRDefault="00E133FD" w:rsidP="00E133FD">
      <w:pPr>
        <w:pStyle w:val="Bibliography"/>
      </w:pPr>
      <w:r>
        <w:t>Eyring, V., Gillett, N.P., Achutarao, K., Barimalala, R., Barreiro Parrillo, M., Bellouin, N., Cassou, C., Durack, P., Kosaka, Y., McGregor, S., Min, S., Morgenstern, O., Sun, Y., 2021. Human Influence on the Climate System. In Climate Change 2021: The Physical Science Basis. Contribution of Working Group I to the Sixth Assessment Report of the Intergovernmental Panel on Climate Change, in: Masson-Delmotte, V., Zhai, V., Pirani, A., Conners, S.L., Péan, C., Berger, S., Caud, N., Chen, Y., Goldfarb, L., Gomis, M.I., Huang, M., Leitzell, K., Lonnoy, E., Matthews, J.B.R., Maycock, T.K., Waterfield, T., Yelekçi, O., Yu, R., Zhou, B. (Eds.), IPCC Sixth Assessment Report. Cambridge University Press.</w:t>
      </w:r>
    </w:p>
    <w:p w14:paraId="1B5492A7" w14:textId="77777777" w:rsidR="00E133FD" w:rsidRDefault="00E133FD" w:rsidP="00E133FD">
      <w:pPr>
        <w:pStyle w:val="Bibliography"/>
      </w:pPr>
      <w:r>
        <w:t>Flachaire, E., Lustig, N., Vigorito, A., 2023. Underreporting of Top Incomes and Inequality: A Comparison of Correction Methods using Simulations and Linked Survey and Tax Data. Review of Income and Wealth 69, 1033–1059. https://doi.org/10.1111/roiw.12618</w:t>
      </w:r>
    </w:p>
    <w:p w14:paraId="168ACE09" w14:textId="77777777" w:rsidR="00E133FD" w:rsidRDefault="00E133FD" w:rsidP="00E133FD">
      <w:pPr>
        <w:pStyle w:val="Bibliography"/>
      </w:pPr>
      <w:r>
        <w:t xml:space="preserve">Friedlingstein, P., O’Sullivan, M., Jones, M.W., Andrew, R.M., Hauck, J., Olsen, A., Peters, G.P., Peters, W., Pongratz, J., Sitch, S., Le Quéré, C., Canadell, J.G., Ciais, P., Jackson, R.B., Alin, S., Aragão, L.E.O.C., Arneth, A., Arora, V., Bates, N.R., Becker, M., Benoit-Cattin, A., Bittig, H.C., Bopp, L., Bultan, S., Chandra, N., Chevallier, F., Chini, L.P., Evans, W., Florentie, L., Forster, P.M., Gasser, T., Gehlen, M., Gilfillan, D., Gkritzalis, T., Gregor, L., Gruber, N., Harris, I., Hartung, K., Haverd, V., Houghton, R.A., </w:t>
      </w:r>
      <w:r>
        <w:lastRenderedPageBreak/>
        <w:t>Ilyina, T., Jain, A.K., Joetzjer, E., Kadono, K., Kato, E., Kitidis, V., Korsbakken, J.I., Landschützer, P., Lefèvre, N., Lenton, A., Lienert, S., Liu, Z., Lombardozzi, D., Marland, G., Metzl, N., Munro, D.R., Nabel, J.E.M.S., Nakaoka, S.-I., Niwa, Y., O’Brien, K., Ono, T., Palmer, P.I., Pierrot, D., Poulter, B., Resplandy, L., Robertson, E., Rödenbeck, C., Schwinger, J., Séférian, R., Skjelvan, I., Smith, A.J.P., Sutton, A.J., Tanhua, T., Tans, P.P., Tian, H., Tilbrook, B., van der Werf, G., Vuichard, N., Walker, A.P., Wanninkhof, R., Watson, A.J., Willis, D., Wiltshire, A.J., Yuan, W., Yue, X., Zaehle, S., 2020. Global Carbon Budget 2020. Earth System Science Data 12, 3269–3340. https://doi.org/10.5194/essd-12-3269-2020</w:t>
      </w:r>
    </w:p>
    <w:p w14:paraId="660F000A" w14:textId="77777777" w:rsidR="00E133FD" w:rsidRDefault="00E133FD" w:rsidP="00E133FD">
      <w:pPr>
        <w:pStyle w:val="Bibliography"/>
      </w:pPr>
      <w:r>
        <w:t>Grassi, G., Schwingshackl, C., Gasser, T., Houghton, R.A., Sitch, S., Canadell, J.G., Cescatti, A., Ciais, P., Federici, S., Friedlingstein, P., Kurz, W.A., Sanz Sanchez, M.J., Abad Viñas, R., Alkama, R., Bultan, S., Ceccherini, G., Falk, S., Kato, E., Kennedy, D., Knauer, J., Korosuo, A., Melo, J., McGrath, M.J., Nabel, J.E.M.S., Poulter, B., Romanovskaya, A.A., Rossi, S., Tian, H., Walker, A.P., Yuan, W., Yue, X., Pongratz, J., 2023. Harmonising the land-use flux estimates of global models and national inventories for 2000–2020. Earth System Science Data 15, 1093–1114. https://doi.org/10.5194/essd-15-1093-2023</w:t>
      </w:r>
    </w:p>
    <w:p w14:paraId="6881787D" w14:textId="77777777" w:rsidR="00E133FD" w:rsidRDefault="00E133FD" w:rsidP="00E133FD">
      <w:pPr>
        <w:pStyle w:val="Bibliography"/>
      </w:pPr>
      <w:r>
        <w:t>Greenhouse Gas Emissions Information for Decision Making: A Framework Going Forward, 2022. . National Academies Press, Washington, D.C. https://doi.org/10.17226/26641</w:t>
      </w:r>
    </w:p>
    <w:p w14:paraId="49F85316" w14:textId="77777777" w:rsidR="00E133FD" w:rsidRDefault="00E133FD" w:rsidP="00E133FD">
      <w:pPr>
        <w:pStyle w:val="Bibliography"/>
      </w:pPr>
      <w:r>
        <w:t>Haddad, C.N., Mahler, D.G., Diaz-Bonilla, C., Hill, R., Lakner, C., Lara Ibarra, G., 2024. The World Bank’s New Inequality Indicat or: The Number of Countries with High Inequality. World Bank Policy Research Working Paper Series.</w:t>
      </w:r>
    </w:p>
    <w:p w14:paraId="5698609C" w14:textId="77777777" w:rsidR="00E133FD" w:rsidRPr="00693DE0" w:rsidRDefault="00E133FD" w:rsidP="00E133FD">
      <w:pPr>
        <w:pStyle w:val="Bibliography"/>
        <w:rPr>
          <w:lang w:val="de-DE"/>
        </w:rPr>
      </w:pPr>
      <w:r>
        <w:t xml:space="preserve">Hallegatte, S., Vogt-Schilb, A., Bangalore, M., Rozenberg, J., 2016. Unbreakable: Building the Resilience of the Poor in the Face of Natural Disasters. </w:t>
      </w:r>
      <w:r w:rsidRPr="00693DE0">
        <w:rPr>
          <w:lang w:val="de-DE"/>
        </w:rPr>
        <w:t>World Bank Publications.</w:t>
      </w:r>
    </w:p>
    <w:p w14:paraId="2EBF36E9" w14:textId="77777777" w:rsidR="00E133FD" w:rsidRDefault="00E133FD" w:rsidP="00E133FD">
      <w:pPr>
        <w:pStyle w:val="Bibliography"/>
      </w:pPr>
      <w:r w:rsidRPr="00693DE0">
        <w:rPr>
          <w:lang w:val="de-DE"/>
        </w:rPr>
        <w:t xml:space="preserve">Hallegatte, S., Vogt-Schilb, A., Rozenberg, J., Bangalore, M., Beaudet, C., 2020. </w:t>
      </w:r>
      <w:r>
        <w:t>From Poverty to Disaster and Back: a Review of the Literature. EconDisCliCha 4, 223–247. https://doi.org/10.1007/s41885-020-00060-5</w:t>
      </w:r>
    </w:p>
    <w:p w14:paraId="78AA543E" w14:textId="77777777" w:rsidR="00E133FD" w:rsidRDefault="00E133FD" w:rsidP="00E133FD">
      <w:pPr>
        <w:pStyle w:val="Bibliography"/>
      </w:pPr>
      <w:r>
        <w:t>Hallegatte, S., Walsh, B., 2021. Natural disasters, poverty and inequality: New metrics for fairer policies, in: The Routledge Handbook of the Political Economy of the Environment. Routledge.</w:t>
      </w:r>
    </w:p>
    <w:p w14:paraId="396ED94B" w14:textId="77777777" w:rsidR="00E133FD" w:rsidRDefault="00E133FD" w:rsidP="00E133FD">
      <w:pPr>
        <w:pStyle w:val="Bibliography"/>
      </w:pPr>
      <w:r>
        <w:t>IPCC, 2023. Climate Change 2022 – Impacts, Adaptation and Vulnerability: Working Group II Contribution to the Sixth Assessment Report of the Intergovernmental Panel on Climate Change, 1st ed. Cambridge University Press. https://doi.org/10.1017/9781009325844</w:t>
      </w:r>
    </w:p>
    <w:p w14:paraId="6C92D501" w14:textId="77777777" w:rsidR="00E133FD" w:rsidRDefault="00E133FD" w:rsidP="00E133FD">
      <w:pPr>
        <w:pStyle w:val="Bibliography"/>
      </w:pPr>
      <w:r>
        <w:t>Jappelli, T., Pistaferri, L., 2010. The Consumption Response to Income Changes. Annual Review of Economics 2, 479–506. https://doi.org/10.1146/annurev.economics.050708.142933</w:t>
      </w:r>
    </w:p>
    <w:p w14:paraId="5802817F" w14:textId="77777777" w:rsidR="00E133FD" w:rsidRDefault="00E133FD" w:rsidP="00E133FD">
      <w:pPr>
        <w:pStyle w:val="Bibliography"/>
      </w:pPr>
      <w:r>
        <w:t>Jenkins, S.P., 2017. Pareto Models, Top Incomes and Recent Trends in UK Income Inequality. Economica 84, 261–289. https://doi.org/10.1111/ecca.12217</w:t>
      </w:r>
    </w:p>
    <w:p w14:paraId="732EC1F8" w14:textId="77777777" w:rsidR="00E133FD" w:rsidRDefault="00E133FD" w:rsidP="00E133FD">
      <w:pPr>
        <w:pStyle w:val="Bibliography"/>
      </w:pPr>
      <w:r>
        <w:t>Jolliffe, D., Mahler, D.G., Veerappan, M., Kilic, T., Wollburg, P., 2023. What Makes Public Sector Data Valuable for Development? The World Bank Research Observer 38. https://doi.org/10.1093/wbro/lkad004</w:t>
      </w:r>
    </w:p>
    <w:p w14:paraId="63D44951" w14:textId="77777777" w:rsidR="00E133FD" w:rsidRDefault="00E133FD" w:rsidP="00E133FD">
      <w:pPr>
        <w:pStyle w:val="Bibliography"/>
      </w:pPr>
      <w:r>
        <w:t>Jones, M.W., Peters, G.P., Gasser, T., Andrew, R.M., Schwingshackl, C., Gütschow, J., Houghton, R.A., Friedlingstein, P., Pongratz, J., Le Quéré, C., 2023. National contributions to climate change due to historical emissions of carbon dioxide, methane, and nitrous oxide since 1850. Sci Data 10, 155. https://doi.org/10.1038/s41597-023-02041-1</w:t>
      </w:r>
    </w:p>
    <w:p w14:paraId="620D9CF0" w14:textId="77777777" w:rsidR="00E133FD" w:rsidRDefault="00E133FD" w:rsidP="00E133FD">
      <w:pPr>
        <w:pStyle w:val="Bibliography"/>
      </w:pPr>
      <w:r>
        <w:t>Kaczan, D.J., Orgill-Meyer, J., 2020. The impact of climate change on migration: a synthesis of recent empirical insights. Climatic Change 158, 281–300. https://doi.org/10.1007/s10584-019-02560-0</w:t>
      </w:r>
    </w:p>
    <w:p w14:paraId="3F4A8E56" w14:textId="77777777" w:rsidR="00E133FD" w:rsidRDefault="00E133FD" w:rsidP="00E133FD">
      <w:pPr>
        <w:pStyle w:val="Bibliography"/>
      </w:pPr>
      <w:r>
        <w:t>Kilic, T., Serajuddin, U., Uematsu, H., Yoshida, N., 2017. Costing Household Surveys for Monitoring Progress Toward Ending Extreme Poverty and Boosting Shared Prosperity, Policy Research Working Papers. The World Bank. https://doi.org/10.1596/1813-9450-7951</w:t>
      </w:r>
    </w:p>
    <w:p w14:paraId="2A434958" w14:textId="77777777" w:rsidR="00E133FD" w:rsidRDefault="00E133FD" w:rsidP="00E133FD">
      <w:pPr>
        <w:pStyle w:val="Bibliography"/>
      </w:pPr>
      <w:r>
        <w:lastRenderedPageBreak/>
        <w:t>Kraay, A., Lakner, C., Özler, B., Decerf, B., Jolliffe, D., Sterck, O., Yonzan, N., 2023. A New Distribution Sensitive Index for Measuring Welfare, Poverty, and Inequality, Policy Research Working Papers. The World Bank. https://doi.org/10.1596/1813-9450-10470</w:t>
      </w:r>
    </w:p>
    <w:p w14:paraId="72616F1C" w14:textId="77777777" w:rsidR="00E133FD" w:rsidRDefault="00E133FD" w:rsidP="00E133FD">
      <w:pPr>
        <w:pStyle w:val="Bibliography"/>
      </w:pPr>
      <w:r>
        <w:t>Lankes, H.P., Macquarie, R., Soubeyran, É., Stern, N., 2024. The Relationship between Climate Action and Poverty Reduction. The World Bank Research Observer 39, 1–46. https://doi.org/10.1093/wbro/lkad011</w:t>
      </w:r>
    </w:p>
    <w:p w14:paraId="1EF08394" w14:textId="77777777" w:rsidR="00E133FD" w:rsidRDefault="00E133FD" w:rsidP="00E133FD">
      <w:pPr>
        <w:pStyle w:val="Bibliography"/>
      </w:pPr>
      <w:r>
        <w:t>Mahler, D.G., Castañeda Aguilar, R.A., Newhouse, D., 2022. Nowcasting Global Poverty. The World Bank Economic Review 36, 835–856. https://doi.org/10.1093/wber/lhac017</w:t>
      </w:r>
    </w:p>
    <w:p w14:paraId="0BF488BB" w14:textId="77777777" w:rsidR="00E133FD" w:rsidRDefault="00E133FD" w:rsidP="00E133FD">
      <w:pPr>
        <w:pStyle w:val="Bibliography"/>
      </w:pPr>
      <w:r>
        <w:t>Marty, R., Duhaut, A., 2024. Global poverty estimation using private and public sector big data sources. Sci Rep 14, 3160. https://doi.org/10.1038/s41598-023-49564-6</w:t>
      </w:r>
    </w:p>
    <w:p w14:paraId="3F2E17BE" w14:textId="77777777" w:rsidR="00E133FD" w:rsidRDefault="00E133FD" w:rsidP="00E133FD">
      <w:pPr>
        <w:pStyle w:val="Bibliography"/>
      </w:pPr>
      <w:r>
        <w:t>Piketty, T., Saez, E., 2006. The Evolution of Top Incomes: A Historical and International Perspective. American Economic Review 96, 200–205. https://doi.org/10.1257/000282806777212116</w:t>
      </w:r>
    </w:p>
    <w:p w14:paraId="6651BB7F" w14:textId="77777777" w:rsidR="00E133FD" w:rsidRDefault="00E133FD" w:rsidP="00E133FD">
      <w:pPr>
        <w:pStyle w:val="Bibliography"/>
      </w:pPr>
      <w:r>
        <w:t>Piketty, T., Yang, L., Zucman, G., 2019. Capital Accumulation, Private Property, and Rising Inequality in China, 1978–2015. American Economic Review 109, 2469–2496. https://doi.org/10.1257/aer.20170973</w:t>
      </w:r>
    </w:p>
    <w:p w14:paraId="6892F16B" w14:textId="77777777" w:rsidR="00E133FD" w:rsidRDefault="00E133FD" w:rsidP="00E133FD">
      <w:pPr>
        <w:pStyle w:val="Bibliography"/>
      </w:pPr>
      <w:r>
        <w:t>Qiu, M., Li, J., Gould, C.F., Jing, R., Kelp, M., Childs, M., Kiang, M., Heft-Neal, S., Diffenbaugh, N., Burke, M., 2024. Mortality Burden From Wildfire Smoke Under Climate Change. Working Paper Series. https://doi.org/10.3386/w32307</w:t>
      </w:r>
    </w:p>
    <w:p w14:paraId="6844807E" w14:textId="77777777" w:rsidR="00E133FD" w:rsidRPr="00693DE0" w:rsidRDefault="00E133FD" w:rsidP="00E133FD">
      <w:pPr>
        <w:pStyle w:val="Bibliography"/>
        <w:rPr>
          <w:lang w:val="fr-FR"/>
        </w:rPr>
      </w:pPr>
      <w:r>
        <w:t xml:space="preserve">Riahi, K., van Vuuren, D.P., Kriegler, E., Edmonds, J., O’Neill, B.C., Fujimori, S., Bauer, N., Calvin, K., Dellink, R., Fricko, O., Lutz, W., Popp, A., Cuaresma, J.C., Kc, S., Leimbach, M., Jiang, L., Kram, T., Rao, S., Emmerling, J., Ebi, K., Hasegawa, T., Havlik, P., Humpenöder, F., Da Silva, L.A., Smith, S., Stehfest, E., Bosetti, V., Eom, J., Gernaat, D., Masui, T., Rogelj, J., Strefler, J., Drouet, L., Krey, V., Luderer, G., Harmsen, M., Takahashi, K., Baumstark, L., Doelman, J.C., Kainuma, M., Klimont, Z., Marangoni, G., Lotze-Campen, H., Obersteiner, M., Tabeau, A., Tavoni, M., 2017. The Shared Socioeconomic Pathways and their energy, land use, and greenhouse gas emissions implications: An overview. </w:t>
      </w:r>
      <w:r w:rsidRPr="00693DE0">
        <w:rPr>
          <w:lang w:val="fr-FR"/>
        </w:rPr>
        <w:t xml:space="preserve">Global </w:t>
      </w:r>
      <w:proofErr w:type="spellStart"/>
      <w:r w:rsidRPr="00693DE0">
        <w:rPr>
          <w:lang w:val="fr-FR"/>
        </w:rPr>
        <w:t>Environmental</w:t>
      </w:r>
      <w:proofErr w:type="spellEnd"/>
      <w:r w:rsidRPr="00693DE0">
        <w:rPr>
          <w:lang w:val="fr-FR"/>
        </w:rPr>
        <w:t xml:space="preserve"> Change 42, 153–168. https://doi.org/10.1016/j.gloenvcha.2016.05.009</w:t>
      </w:r>
    </w:p>
    <w:p w14:paraId="27024DD2" w14:textId="77777777" w:rsidR="00E133FD" w:rsidRDefault="00E133FD" w:rsidP="00E133FD">
      <w:pPr>
        <w:pStyle w:val="Bibliography"/>
      </w:pPr>
      <w:r w:rsidRPr="00693DE0">
        <w:rPr>
          <w:lang w:val="fr-FR"/>
        </w:rPr>
        <w:t xml:space="preserve">Saez, E., </w:t>
      </w:r>
      <w:proofErr w:type="spellStart"/>
      <w:r w:rsidRPr="00693DE0">
        <w:rPr>
          <w:lang w:val="fr-FR"/>
        </w:rPr>
        <w:t>Zucman</w:t>
      </w:r>
      <w:proofErr w:type="spellEnd"/>
      <w:r w:rsidRPr="00693DE0">
        <w:rPr>
          <w:lang w:val="fr-FR"/>
        </w:rPr>
        <w:t xml:space="preserve">, G., 2016. </w:t>
      </w:r>
      <w:r>
        <w:t>Wealth Inequality in the United States since 1913: Evidence from Capitalized Income Tax Data *. The Quarterly Journal of Economics 131, 519–578. https://doi.org/10.1093/qje/qjw004</w:t>
      </w:r>
    </w:p>
    <w:p w14:paraId="1E704848" w14:textId="77777777" w:rsidR="00E133FD" w:rsidRDefault="00E133FD" w:rsidP="00E133FD">
      <w:pPr>
        <w:pStyle w:val="Bibliography"/>
      </w:pPr>
      <w:r>
        <w:t>Sekhri, S., Storeygard, A., 2014. Dowry deaths: Response to weather variability in India. Journal of Development Economics, Special Issue: Imbalances in Economic Development 111, 212–223. https://doi.org/10.1016/j.jdeveco.2014.09.001</w:t>
      </w:r>
    </w:p>
    <w:p w14:paraId="5491C793" w14:textId="77777777" w:rsidR="00E133FD" w:rsidRDefault="00E133FD" w:rsidP="00E133FD">
      <w:pPr>
        <w:pStyle w:val="Bibliography"/>
      </w:pPr>
      <w:r>
        <w:t>Somanathan, E., Somanathan, R., Sudarshan, A., Tewari, M., 2021. The Impact of Temperature on Productivity and Labor Supply: Evidence from Indian Manufacturing. Journal of Political Economy 129, 1797–1827. https://doi.org/10.1086/713733</w:t>
      </w:r>
    </w:p>
    <w:p w14:paraId="77A22EF0" w14:textId="77777777" w:rsidR="00E133FD" w:rsidRDefault="00E133FD" w:rsidP="00E133FD">
      <w:pPr>
        <w:pStyle w:val="Bibliography"/>
      </w:pPr>
      <w:r>
        <w:t>Tang, B., Liu, Y., Matteson, D.S., 2022. Predicting poverty with vegetation index. Applied Economic Perspectives and Policy 44, 930–945. https://doi.org/10.1002/aepp.13221</w:t>
      </w:r>
    </w:p>
    <w:p w14:paraId="23EF938B" w14:textId="77777777" w:rsidR="00E133FD" w:rsidRDefault="00E133FD" w:rsidP="00E133FD">
      <w:pPr>
        <w:pStyle w:val="Bibliography"/>
      </w:pPr>
      <w:r>
        <w:t>Tol, R.S.J., 2024. A meta-analysis of the total economic impact of climate change. Energy Policy 185, 113922. https://doi.org/10.1016/j.enpol.2023.113922</w:t>
      </w:r>
    </w:p>
    <w:p w14:paraId="38FBF3C5" w14:textId="77777777" w:rsidR="00E133FD" w:rsidRDefault="00E133FD" w:rsidP="00E133FD">
      <w:pPr>
        <w:pStyle w:val="Bibliography"/>
      </w:pPr>
      <w:r>
        <w:t>van der Weide, R., Lakner, C., Ianchovichina, E., 2018. Is Inequality Underestimated in Egypt? Evidence from House Prices. Review of Income and Wealth 64, S55–S79. https://doi.org/10.1111/roiw.12338</w:t>
      </w:r>
    </w:p>
    <w:p w14:paraId="34C38FDA" w14:textId="77777777" w:rsidR="00E133FD" w:rsidRDefault="00E133FD" w:rsidP="00E133FD">
      <w:pPr>
        <w:pStyle w:val="Bibliography"/>
      </w:pPr>
      <w:r>
        <w:t>Welch, I., 2024. The IPCC Shared Socioeconomic Pathways (SSPs): Explained, Evaluated, Replaced. National Bureau of Economic Research.</w:t>
      </w:r>
    </w:p>
    <w:p w14:paraId="4D727C61" w14:textId="77777777" w:rsidR="00E133FD" w:rsidRDefault="00E133FD" w:rsidP="00E133FD">
      <w:pPr>
        <w:pStyle w:val="Bibliography"/>
      </w:pPr>
      <w:r>
        <w:t>World Bank, 2024a. New World Bank Group Scorecard FY24-FY30 : Driving Action, Measuring Results.</w:t>
      </w:r>
    </w:p>
    <w:p w14:paraId="3C1A7B71" w14:textId="77777777" w:rsidR="00E133FD" w:rsidRDefault="00E133FD" w:rsidP="00E133FD">
      <w:pPr>
        <w:pStyle w:val="Bibliography"/>
      </w:pPr>
      <w:r>
        <w:t>World Bank, 2024b. Poverty and Inequality Platform Methodology Handbook.</w:t>
      </w:r>
    </w:p>
    <w:p w14:paraId="5EFE6E99" w14:textId="77777777" w:rsidR="00E133FD" w:rsidRDefault="00E133FD" w:rsidP="00E133FD">
      <w:pPr>
        <w:pStyle w:val="Bibliography"/>
      </w:pPr>
      <w:r>
        <w:t>World Bank, 2023. World Development Report 2023: Migrants, Refugees, and Societies. World Bank, Washington, D.C.</w:t>
      </w:r>
    </w:p>
    <w:p w14:paraId="61E5C789" w14:textId="77777777" w:rsidR="00E133FD" w:rsidRDefault="00E133FD" w:rsidP="00E133FD">
      <w:pPr>
        <w:pStyle w:val="Bibliography"/>
      </w:pPr>
      <w:r>
        <w:lastRenderedPageBreak/>
        <w:t>World Bank, 2021. World Development Report 2021: Data for better lives. World Bank.</w:t>
      </w:r>
    </w:p>
    <w:p w14:paraId="4724B872" w14:textId="77777777" w:rsidR="00E133FD" w:rsidRDefault="00E133FD" w:rsidP="00E133FD">
      <w:pPr>
        <w:pStyle w:val="Bibliography"/>
      </w:pPr>
      <w:r>
        <w:t>World Bank, 2018. Poverty and Shared Prosperity 2018: Piecing Together the Poverty Puzzle. World Bank, Washington, DC.</w:t>
      </w:r>
    </w:p>
    <w:p w14:paraId="66C4D9E8" w14:textId="77777777" w:rsidR="00E133FD" w:rsidRDefault="00E133FD" w:rsidP="00E133FD">
      <w:pPr>
        <w:pStyle w:val="Bibliography"/>
      </w:pPr>
      <w:r>
        <w:t>World Bank, 2017. Monitoring Global Poverty: Report of the Commission on Global Poverty. Washington, DC: World Bank.</w:t>
      </w:r>
    </w:p>
    <w:p w14:paraId="28E89A16" w14:textId="77777777" w:rsidR="00E133FD" w:rsidRDefault="00E133FD" w:rsidP="00E133FD">
      <w:pPr>
        <w:pStyle w:val="Bibliography"/>
      </w:pPr>
      <w:r>
        <w:t>World Bank, 2015. World Bank’s New End-Poverty Tool: Surveys in Poorest Countries [WWW Document]. World Bank. https://doi.org/10/15/world-bank-new-end-poverty-tool-surveys-in-poorest-countries</w:t>
      </w:r>
    </w:p>
    <w:p w14:paraId="7E6BFAAE" w14:textId="77777777" w:rsidR="00E133FD" w:rsidRDefault="00E133FD" w:rsidP="00E133FD">
      <w:pPr>
        <w:pStyle w:val="Bibliography"/>
      </w:pPr>
      <w:r>
        <w:t>World Inequality Lab, 2024. Distributional National Accounts Guidelines: Methods and Concepts Used in the World Inequality Database.</w:t>
      </w:r>
    </w:p>
    <w:p w14:paraId="0F7CEA5D" w14:textId="77777777" w:rsidR="00E133FD" w:rsidRDefault="00E133FD" w:rsidP="00E133FD">
      <w:pPr>
        <w:pStyle w:val="Bibliography"/>
      </w:pPr>
      <w:r>
        <w:t>Yonzan, N., Milanovic, B., Morelli, S., Gornick, J., 2022. Drawing a Line: Comparing the Estimation of Top Incomes between Tax Data and Household Survey Data. J Econ Inequal 20, 67–95. https://doi.org/10.1007/s10888-021-09515-5</w:t>
      </w:r>
    </w:p>
    <w:p w14:paraId="5EB7994A" w14:textId="5E841BC1" w:rsidR="00627885" w:rsidRPr="00077757" w:rsidRDefault="00603D2E" w:rsidP="00077757">
      <w:pPr>
        <w:spacing w:line="240" w:lineRule="auto"/>
        <w:rPr>
          <w:rFonts w:ascii="Open Sans" w:hAnsi="Open Sans" w:cs="Open Sans"/>
          <w:sz w:val="20"/>
          <w:szCs w:val="20"/>
        </w:rPr>
      </w:pPr>
      <w:r w:rsidRPr="00077757">
        <w:rPr>
          <w:rFonts w:ascii="Open Sans" w:hAnsi="Open Sans" w:cs="Open Sans"/>
          <w:sz w:val="20"/>
          <w:szCs w:val="20"/>
        </w:rPr>
        <w:fldChar w:fldCharType="end"/>
      </w:r>
    </w:p>
    <w:sectPr w:rsidR="00627885" w:rsidRPr="000777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a Eugenia Genoni" w:date="2024-06-25T11:25:00Z" w:initials="MG">
    <w:p w14:paraId="43D942B7" w14:textId="5DF56D96" w:rsidR="00694957" w:rsidRDefault="00694957" w:rsidP="00694957">
      <w:pPr>
        <w:pStyle w:val="CommentText"/>
        <w:jc w:val="left"/>
      </w:pPr>
      <w:r>
        <w:rPr>
          <w:rStyle w:val="CommentReference"/>
        </w:rPr>
        <w:annotationRef/>
      </w:r>
      <w:r>
        <w:fldChar w:fldCharType="begin"/>
      </w:r>
      <w:r>
        <w:instrText>HYPERLINK "mailto:hstemmler@worldbank.org"</w:instrText>
      </w:r>
      <w:bookmarkStart w:id="1" w:name="_@_85AC748640A1401CAFB2ABA82C37E14DZ"/>
      <w:r>
        <w:fldChar w:fldCharType="separate"/>
      </w:r>
      <w:bookmarkEnd w:id="1"/>
      <w:r w:rsidRPr="00694957">
        <w:rPr>
          <w:rStyle w:val="Mention"/>
          <w:noProof/>
        </w:rPr>
        <w:t>@Henry Stemmler</w:t>
      </w:r>
      <w:r>
        <w:fldChar w:fldCharType="end"/>
      </w:r>
      <w:r>
        <w:t xml:space="preserve"> update with the right palette</w:t>
      </w:r>
    </w:p>
  </w:comment>
  <w:comment w:id="2" w:author="Maria Eugenia Genoni" w:date="2024-06-25T11:23:00Z" w:initials="MG">
    <w:p w14:paraId="78236259" w14:textId="12605155" w:rsidR="0098205B" w:rsidRDefault="0098205B" w:rsidP="0098205B">
      <w:pPr>
        <w:pStyle w:val="CommentText"/>
        <w:jc w:val="left"/>
      </w:pPr>
      <w:r>
        <w:rPr>
          <w:rStyle w:val="CommentReference"/>
        </w:rPr>
        <w:annotationRef/>
      </w:r>
      <w:r>
        <w:fldChar w:fldCharType="begin"/>
      </w:r>
      <w:r>
        <w:instrText>HYPERLINK "mailto:stettehbaah@worldbank.org"</w:instrText>
      </w:r>
      <w:bookmarkStart w:id="3" w:name="_@_E15E53660A36471C94CC049FC3E0588FZ"/>
      <w:r>
        <w:fldChar w:fldCharType="separate"/>
      </w:r>
      <w:bookmarkEnd w:id="3"/>
      <w:r w:rsidRPr="0098205B">
        <w:rPr>
          <w:rStyle w:val="Mention"/>
          <w:noProof/>
        </w:rPr>
        <w:t>@Samuel Kofi Tetteh Baah</w:t>
      </w:r>
      <w:r>
        <w:fldChar w:fldCharType="end"/>
      </w:r>
      <w:r>
        <w:t xml:space="preserve">  replace by editable figures and with color palette</w:t>
      </w:r>
    </w:p>
  </w:comment>
  <w:comment w:id="4" w:author="Maria Eugenia Genoni" w:date="2024-06-25T11:24:00Z" w:initials="MG">
    <w:p w14:paraId="4EFD38D8" w14:textId="36DCA697" w:rsidR="001B381F" w:rsidRDefault="001B381F" w:rsidP="001B381F">
      <w:pPr>
        <w:pStyle w:val="CommentText"/>
        <w:jc w:val="left"/>
      </w:pPr>
      <w:r>
        <w:rPr>
          <w:rStyle w:val="CommentReference"/>
        </w:rPr>
        <w:annotationRef/>
      </w:r>
      <w:r>
        <w:fldChar w:fldCharType="begin"/>
      </w:r>
      <w:r>
        <w:instrText>HYPERLINK "mailto:stettehbaah@worldbank.org"</w:instrText>
      </w:r>
      <w:bookmarkStart w:id="5" w:name="_@_8FAE82C84BA94714972828B96674BAE5Z"/>
      <w:r>
        <w:fldChar w:fldCharType="separate"/>
      </w:r>
      <w:bookmarkEnd w:id="5"/>
      <w:r w:rsidRPr="001B381F">
        <w:rPr>
          <w:rStyle w:val="Mention"/>
          <w:noProof/>
        </w:rPr>
        <w:t>@Samuel Kofi Tetteh Baah</w:t>
      </w:r>
      <w:r>
        <w:fldChar w:fldCharType="end"/>
      </w:r>
      <w:r>
        <w:t xml:space="preserve"> can you please confirm?</w:t>
      </w:r>
    </w:p>
  </w:comment>
  <w:comment w:id="6" w:author="Maria Eugenia Genoni" w:date="2024-06-22T11:51:00Z" w:initials="MG">
    <w:p w14:paraId="5CCBABD8" w14:textId="5715F669" w:rsidR="003F0A77" w:rsidRDefault="003F0A77" w:rsidP="003F0A77">
      <w:pPr>
        <w:pStyle w:val="CommentText"/>
        <w:jc w:val="left"/>
      </w:pPr>
      <w:r>
        <w:rPr>
          <w:rStyle w:val="CommentReference"/>
        </w:rPr>
        <w:annotationRef/>
      </w:r>
      <w:r>
        <w:fldChar w:fldCharType="begin"/>
      </w:r>
      <w:r>
        <w:instrText>HYPERLINK "mailto:dgroves@worldbank.org"</w:instrText>
      </w:r>
      <w:bookmarkStart w:id="7" w:name="_@_8764F34C9E074DCABD30BA85C99BBBC6Z"/>
      <w:r>
        <w:fldChar w:fldCharType="separate"/>
      </w:r>
      <w:bookmarkEnd w:id="7"/>
      <w:r w:rsidRPr="003F0A77">
        <w:rPr>
          <w:rStyle w:val="Mention"/>
          <w:noProof/>
        </w:rPr>
        <w:t>@David Groves</w:t>
      </w:r>
      <w:r>
        <w:fldChar w:fldCharType="end"/>
      </w:r>
      <w:r>
        <w:t xml:space="preserve">  can you review and add as needed?</w:t>
      </w:r>
    </w:p>
  </w:comment>
  <w:comment w:id="8" w:author="Thijs Benschop" w:date="2024-07-01T09:46:00Z" w:initials="TB">
    <w:p w14:paraId="7C44D4F5" w14:textId="77777777" w:rsidR="00834C21" w:rsidRDefault="00834C21" w:rsidP="0013144D">
      <w:pPr>
        <w:pStyle w:val="CommentText"/>
        <w:jc w:val="left"/>
      </w:pPr>
      <w:r>
        <w:rPr>
          <w:rStyle w:val="CommentReference"/>
        </w:rPr>
        <w:annotationRef/>
      </w:r>
      <w:r>
        <w:t>Add different reporting requirements for Annex I and non-Annex I countries to Kyoto protocol and hence the different quality/reliability of data</w:t>
      </w:r>
    </w:p>
  </w:comment>
  <w:comment w:id="9" w:author="Thijs Benschop" w:date="2024-07-01T09:21:00Z" w:initials="TB">
    <w:p w14:paraId="61EA6498" w14:textId="7DE4971E" w:rsidR="006B5122" w:rsidRDefault="006B5122" w:rsidP="009954B4">
      <w:pPr>
        <w:pStyle w:val="CommentText"/>
        <w:jc w:val="left"/>
      </w:pPr>
      <w:r>
        <w:rPr>
          <w:rStyle w:val="CommentReference"/>
        </w:rPr>
        <w:annotationRef/>
      </w:r>
      <w:r>
        <w:t xml:space="preserve">Add accuracy: </w:t>
      </w:r>
      <w:r>
        <w:rPr>
          <w:color w:val="000000"/>
        </w:rPr>
        <w:t xml:space="preserve">For these sectors, emissions estimates are roughly accurate to within 10% when aggregated to the global level and between 4% and 35% at the country level (Crippa et al., 2023). </w:t>
      </w:r>
    </w:p>
  </w:comment>
  <w:comment w:id="10" w:author="Thijs Benschop" w:date="2024-07-01T09:47:00Z" w:initials="TB">
    <w:p w14:paraId="45865B4D" w14:textId="77777777" w:rsidR="00834C21" w:rsidRDefault="00834C21" w:rsidP="00DD4998">
      <w:pPr>
        <w:pStyle w:val="CommentText"/>
        <w:jc w:val="left"/>
      </w:pPr>
      <w:r>
        <w:rPr>
          <w:rStyle w:val="CommentReference"/>
        </w:rPr>
        <w:annotationRef/>
      </w:r>
      <w:r>
        <w:t>Because no satellite data available?</w:t>
      </w:r>
    </w:p>
  </w:comment>
  <w:comment w:id="11" w:author="Thijs Benschop" w:date="2024-06-28T15:31:00Z" w:initials="TB">
    <w:p w14:paraId="44096C45" w14:textId="78EF70C6" w:rsidR="00834C21" w:rsidRDefault="00693DE0" w:rsidP="00143928">
      <w:pPr>
        <w:pStyle w:val="CommentText"/>
        <w:jc w:val="left"/>
      </w:pPr>
      <w:r>
        <w:rPr>
          <w:rStyle w:val="CommentReference"/>
        </w:rPr>
        <w:annotationRef/>
      </w:r>
      <w:r w:rsidR="00834C21">
        <w:t>Add that these are all Kyoto gases - disaggregated by all F-gasses individually</w:t>
      </w:r>
    </w:p>
  </w:comment>
  <w:comment w:id="12" w:author="Thijs Benschop" w:date="2024-06-28T15:32:00Z" w:initials="TB">
    <w:p w14:paraId="6FB7AE48" w14:textId="77777777" w:rsidR="00834C21" w:rsidRDefault="00693DE0" w:rsidP="003A6AA5">
      <w:pPr>
        <w:pStyle w:val="CommentText"/>
        <w:jc w:val="left"/>
      </w:pPr>
      <w:r>
        <w:rPr>
          <w:rStyle w:val="CommentReference"/>
        </w:rPr>
        <w:annotationRef/>
      </w:r>
      <w:r w:rsidR="00834C21">
        <w:t>Depends on GHG - e.g. methane - 11.8 years on average, CO2 in principle forever unless it is removed</w:t>
      </w:r>
    </w:p>
  </w:comment>
  <w:comment w:id="13" w:author="Thijs Benschop" w:date="2024-06-28T15:33:00Z" w:initials="TB">
    <w:p w14:paraId="50B0FD89" w14:textId="17F0644E" w:rsidR="00693DE0" w:rsidRDefault="00693DE0" w:rsidP="00722154">
      <w:pPr>
        <w:pStyle w:val="CommentText"/>
        <w:jc w:val="left"/>
      </w:pPr>
      <w:r>
        <w:rPr>
          <w:rStyle w:val="CommentReference"/>
        </w:rPr>
        <w:annotationRef/>
      </w:r>
      <w:r>
        <w:t xml:space="preserve">See </w:t>
      </w:r>
      <w:hyperlink r:id="rId1" w:history="1">
        <w:r w:rsidRPr="00722154">
          <w:rPr>
            <w:rStyle w:val="Hyperlink"/>
          </w:rPr>
          <w:t>https://www.epa.gov/climate-indicators/greenhouse-gases</w:t>
        </w:r>
      </w:hyperlink>
    </w:p>
  </w:comment>
  <w:comment w:id="14" w:author="Maria Eugenia Genoni" w:date="2024-06-25T14:21:00Z" w:initials="MEG">
    <w:p w14:paraId="29688853" w14:textId="522F0C0C" w:rsidR="002638DD" w:rsidRDefault="002638DD" w:rsidP="002638DD">
      <w:pPr>
        <w:pStyle w:val="CommentText"/>
        <w:jc w:val="left"/>
      </w:pPr>
      <w:r>
        <w:rPr>
          <w:rStyle w:val="CommentReference"/>
        </w:rPr>
        <w:annotationRef/>
      </w:r>
      <w:r>
        <w:fldChar w:fldCharType="begin"/>
      </w:r>
      <w:r>
        <w:instrText>HYPERLINK "mailto:hstemmler@worldbank.org"</w:instrText>
      </w:r>
      <w:bookmarkStart w:id="16" w:name="_@_0F69112B326E4F5287CDD0C1A0CF48E0Z"/>
      <w:r>
        <w:fldChar w:fldCharType="separate"/>
      </w:r>
      <w:bookmarkEnd w:id="16"/>
      <w:r w:rsidRPr="002638DD">
        <w:rPr>
          <w:rStyle w:val="Mention"/>
          <w:noProof/>
        </w:rPr>
        <w:t>@Henry Stemmler</w:t>
      </w:r>
      <w:r>
        <w:fldChar w:fldCharType="end"/>
      </w:r>
      <w:r>
        <w:t xml:space="preserve"> references are here: </w:t>
      </w:r>
      <w:hyperlink r:id="rId2" w:history="1">
        <w:r w:rsidRPr="00913503">
          <w:rPr>
            <w:rStyle w:val="Hyperlink"/>
          </w:rPr>
          <w:t>https://documents1.worldbank.org/curated/en/099549506102441825/pdf/IDU1bd155bac16d78143af188331f87564a9d6c8.pdf</w:t>
        </w:r>
      </w:hyperlink>
    </w:p>
  </w:comment>
  <w:comment w:id="15" w:author="Maria Eugenia Genoni" w:date="2024-06-25T14:41:00Z" w:initials="MEG">
    <w:p w14:paraId="7B23377A" w14:textId="77777777" w:rsidR="0008259C" w:rsidRDefault="0008259C" w:rsidP="0008259C">
      <w:pPr>
        <w:pStyle w:val="CommentText"/>
        <w:jc w:val="left"/>
      </w:pPr>
      <w:r>
        <w:rPr>
          <w:rStyle w:val="CommentReference"/>
        </w:rPr>
        <w:annotationRef/>
      </w:r>
      <w:r>
        <w:t>Also cite the link to the high-inequality paper</w:t>
      </w:r>
    </w:p>
  </w:comment>
  <w:comment w:id="17" w:author="Christoph Lakner" w:date="2024-06-17T17:33:00Z" w:initials="CL">
    <w:p w14:paraId="541DF807" w14:textId="49CBAD00" w:rsidR="008B6B0D" w:rsidRDefault="0052062E">
      <w:pPr>
        <w:pStyle w:val="CommentText"/>
        <w:jc w:val="left"/>
      </w:pPr>
      <w:r>
        <w:rPr>
          <w:rStyle w:val="CommentReference"/>
        </w:rPr>
        <w:annotationRef/>
      </w:r>
      <w:r w:rsidR="008B6B0D">
        <w:t xml:space="preserve">Add here a few sentences on the WID transparency index: </w:t>
      </w:r>
    </w:p>
    <w:p w14:paraId="1CC10474" w14:textId="77777777" w:rsidR="008B6B0D" w:rsidRDefault="00834C21">
      <w:pPr>
        <w:pStyle w:val="CommentText"/>
        <w:jc w:val="left"/>
      </w:pPr>
      <w:hyperlink r:id="rId3" w:history="1">
        <w:r w:rsidR="008B6B0D" w:rsidRPr="001F08BC">
          <w:rPr>
            <w:rStyle w:val="Hyperlink"/>
          </w:rPr>
          <w:t>https://wid.world/transparency/</w:t>
        </w:r>
      </w:hyperlink>
    </w:p>
    <w:p w14:paraId="33D49CCD" w14:textId="77777777" w:rsidR="008B6B0D" w:rsidRDefault="008B6B0D">
      <w:pPr>
        <w:pStyle w:val="CommentText"/>
        <w:jc w:val="left"/>
      </w:pPr>
    </w:p>
    <w:p w14:paraId="3E1A4C50" w14:textId="77777777" w:rsidR="008B6B0D" w:rsidRDefault="008B6B0D">
      <w:pPr>
        <w:pStyle w:val="CommentText"/>
        <w:jc w:val="left"/>
      </w:pPr>
      <w:r>
        <w:t>It would be nice to say that adequate data are only available in a few rich countries. Or that all of LIC/LMIC are in the bottom category. I don’t quite understand these different categories, so I don’t know where the threshold should be.</w:t>
      </w:r>
    </w:p>
  </w:comment>
  <w:comment w:id="18" w:author="Christoph Lakner" w:date="2024-06-17T17:36:00Z" w:initials="CL">
    <w:p w14:paraId="629A108B" w14:textId="2E615AD6" w:rsidR="00810C48" w:rsidRDefault="00810C48">
      <w:pPr>
        <w:pStyle w:val="CommentText"/>
        <w:jc w:val="left"/>
      </w:pPr>
      <w:r>
        <w:rPr>
          <w:rStyle w:val="CommentReference"/>
        </w:rPr>
        <w:annotationRef/>
      </w:r>
      <w:r>
        <w:t xml:space="preserve">Add a sentence here on the inequality bounds approach by Chico et al. </w:t>
      </w:r>
    </w:p>
  </w:comment>
  <w:comment w:id="19" w:author="Nishant Yonzan" w:date="2024-06-05T16:27:00Z" w:initials="NY">
    <w:p w14:paraId="1EFA268D" w14:textId="168DD0F9" w:rsidR="004A05B7" w:rsidRDefault="004A05B7" w:rsidP="004A05B7">
      <w:pPr>
        <w:pStyle w:val="CommentText"/>
      </w:pPr>
      <w:r>
        <w:rPr>
          <w:rStyle w:val="CommentReference"/>
        </w:rPr>
        <w:annotationRef/>
      </w:r>
      <w:r>
        <w:t>Limit (a) this for a handful of countries.</w:t>
      </w:r>
    </w:p>
  </w:comment>
  <w:comment w:id="20" w:author="Christoph Lakner" w:date="2024-06-17T22:43:00Z" w:initials="CL">
    <w:p w14:paraId="0B004AF6" w14:textId="77777777" w:rsidR="00A65DBC" w:rsidRDefault="00A65DBC">
      <w:pPr>
        <w:pStyle w:val="CommentText"/>
        <w:jc w:val="left"/>
      </w:pPr>
      <w:r>
        <w:rPr>
          <w:rStyle w:val="CommentReference"/>
        </w:rPr>
        <w:annotationRef/>
      </w:r>
      <w:r>
        <w:t xml:space="preserve">This is a nice result, but we need to explain better what this figure is. Just add a footnote. Is this the difference in the changes? </w:t>
      </w:r>
    </w:p>
  </w:comment>
  <w:comment w:id="21" w:author="Henry Stemmler" w:date="2024-06-24T19:20:00Z" w:initials="HS">
    <w:p w14:paraId="5861A3FE" w14:textId="61201BDF" w:rsidR="00D00181" w:rsidRDefault="00D00181" w:rsidP="00BF0E0B">
      <w:pPr>
        <w:pStyle w:val="CommentText"/>
        <w:jc w:val="left"/>
      </w:pPr>
      <w:r>
        <w:rPr>
          <w:rStyle w:val="CommentReference"/>
        </w:rPr>
        <w:annotationRef/>
      </w:r>
      <w:r>
        <w:fldChar w:fldCharType="begin"/>
      </w:r>
      <w:r>
        <w:instrText>HYPERLINK "mailto:mgenoni@worldbank.org"</w:instrText>
      </w:r>
      <w:bookmarkStart w:id="23" w:name="_@_9E91DDCAA35F480F8E1310CE44ECAE3EZ"/>
      <w:r>
        <w:fldChar w:fldCharType="separate"/>
      </w:r>
      <w:bookmarkEnd w:id="23"/>
      <w:r w:rsidRPr="00D00181">
        <w:rPr>
          <w:rStyle w:val="Mention"/>
          <w:noProof/>
        </w:rPr>
        <w:t>@Maria Eugenia Genoni</w:t>
      </w:r>
      <w:r>
        <w:fldChar w:fldCharType="end"/>
      </w:r>
      <w:r>
        <w:t xml:space="preserve"> Not sure if helpful now, but added this figure on the range of per capita GDP projections in SSPs. I'm running also the poverty implications, but this will take at least a day to run through</w:t>
      </w:r>
    </w:p>
  </w:comment>
  <w:comment w:id="22" w:author="Maria Eugenia Genoni" w:date="2024-06-25T14:37:00Z" w:initials="MEG">
    <w:p w14:paraId="3DCCC76B" w14:textId="77777777" w:rsidR="00DA74E5" w:rsidRDefault="00DA74E5" w:rsidP="00DA74E5">
      <w:pPr>
        <w:pStyle w:val="CommentText"/>
        <w:jc w:val="left"/>
      </w:pPr>
      <w:r>
        <w:rPr>
          <w:rStyle w:val="CommentReference"/>
        </w:rPr>
        <w:annotationRef/>
      </w:r>
      <w:r>
        <w:t>That is fine. Thank you!</w:t>
      </w:r>
    </w:p>
  </w:comment>
  <w:comment w:id="24" w:author="Christoph Lakner" w:date="2024-06-18T17:11:00Z" w:initials="CL">
    <w:p w14:paraId="02874D96" w14:textId="0EA8F488" w:rsidR="00CB5F09" w:rsidRDefault="00CB5F09">
      <w:pPr>
        <w:pStyle w:val="CommentText"/>
        <w:jc w:val="left"/>
      </w:pPr>
      <w:r>
        <w:rPr>
          <w:rStyle w:val="CommentReference"/>
        </w:rPr>
        <w:annotationRef/>
      </w:r>
      <w:r>
        <w:t>Please clarify. The changes are from -84% to +359%? I was confused about losses and gains in the same sentence.</w:t>
      </w:r>
    </w:p>
    <w:p w14:paraId="1BB8380E" w14:textId="77777777" w:rsidR="00CB5F09" w:rsidRDefault="00CB5F09">
      <w:pPr>
        <w:pStyle w:val="CommentText"/>
        <w:jc w:val="left"/>
      </w:pPr>
    </w:p>
    <w:p w14:paraId="054B2C49" w14:textId="77777777" w:rsidR="00CB5F09" w:rsidRDefault="00CB5F09">
      <w:pPr>
        <w:pStyle w:val="CommentText"/>
        <w:jc w:val="left"/>
      </w:pPr>
      <w:r>
        <w:t>Also: These are really global impacts or these are at the coutnry-level. The range is huge.</w:t>
      </w:r>
    </w:p>
    <w:p w14:paraId="2FEEA3AB" w14:textId="77777777" w:rsidR="00CB5F09" w:rsidRDefault="00CB5F09">
      <w:pPr>
        <w:pStyle w:val="CommentText"/>
        <w:jc w:val="left"/>
      </w:pPr>
    </w:p>
    <w:p w14:paraId="2BF6F1F8" w14:textId="77777777" w:rsidR="00CB5F09" w:rsidRDefault="00CB5F09">
      <w:pPr>
        <w:pStyle w:val="CommentText"/>
        <w:jc w:val="left"/>
      </w:pPr>
      <w:r>
        <w:t>In addition to the range, should we give any indication of the central tendancy, e.g. the median...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D942B7" w15:done="1"/>
  <w15:commentEx w15:paraId="78236259" w15:done="0"/>
  <w15:commentEx w15:paraId="4EFD38D8" w15:done="0"/>
  <w15:commentEx w15:paraId="5CCBABD8" w15:done="0"/>
  <w15:commentEx w15:paraId="7C44D4F5" w15:done="0"/>
  <w15:commentEx w15:paraId="61EA6498" w15:done="0"/>
  <w15:commentEx w15:paraId="45865B4D" w15:done="0"/>
  <w15:commentEx w15:paraId="44096C45" w15:done="0"/>
  <w15:commentEx w15:paraId="6FB7AE48" w15:done="0"/>
  <w15:commentEx w15:paraId="50B0FD89" w15:paraIdParent="6FB7AE48" w15:done="0"/>
  <w15:commentEx w15:paraId="29688853" w15:done="1"/>
  <w15:commentEx w15:paraId="7B23377A" w15:paraIdParent="29688853" w15:done="1"/>
  <w15:commentEx w15:paraId="3E1A4C50" w15:done="0"/>
  <w15:commentEx w15:paraId="629A108B" w15:done="0"/>
  <w15:commentEx w15:paraId="1EFA268D" w15:done="0"/>
  <w15:commentEx w15:paraId="0B004AF6" w15:done="0"/>
  <w15:commentEx w15:paraId="5861A3FE" w15:done="0"/>
  <w15:commentEx w15:paraId="3DCCC76B" w15:paraIdParent="5861A3FE" w15:done="0"/>
  <w15:commentEx w15:paraId="2BF6F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7153C27" w16cex:dateUtc="2024-06-25T15:25:00Z"/>
  <w16cex:commentExtensible w16cex:durableId="1F8A2BD3" w16cex:dateUtc="2024-06-25T15:23:00Z"/>
  <w16cex:commentExtensible w16cex:durableId="3C50BE27" w16cex:dateUtc="2024-06-25T15:24:00Z"/>
  <w16cex:commentExtensible w16cex:durableId="2B03A341" w16cex:dateUtc="2024-06-22T15:51:00Z"/>
  <w16cex:commentExtensible w16cex:durableId="2A2CF974" w16cex:dateUtc="2024-07-01T13:46:00Z"/>
  <w16cex:commentExtensible w16cex:durableId="2A2CF3AB" w16cex:dateUtc="2024-07-01T13:21:00Z"/>
  <w16cex:commentExtensible w16cex:durableId="2A2CF9AE" w16cex:dateUtc="2024-07-01T13:47:00Z"/>
  <w16cex:commentExtensible w16cex:durableId="2A2955E4" w16cex:dateUtc="2024-06-28T19:31:00Z"/>
  <w16cex:commentExtensible w16cex:durableId="2A29560A" w16cex:dateUtc="2024-06-28T19:32:00Z"/>
  <w16cex:commentExtensible w16cex:durableId="2A295656" w16cex:dateUtc="2024-06-28T19:33:00Z"/>
  <w16cex:commentExtensible w16cex:durableId="5945EE91" w16cex:dateUtc="2024-06-25T18:21:00Z"/>
  <w16cex:commentExtensible w16cex:durableId="612125A3" w16cex:dateUtc="2024-06-25T18:41:00Z"/>
  <w16cex:commentExtensible w16cex:durableId="2A1AF3CB" w16cex:dateUtc="2024-06-17T21:33:00Z"/>
  <w16cex:commentExtensible w16cex:durableId="2A1AF3D8" w16cex:dateUtc="2024-06-17T21:36:00Z"/>
  <w16cex:commentExtensible w16cex:durableId="2A0B1055" w16cex:dateUtc="2024-06-05T20:27:00Z"/>
  <w16cex:commentExtensible w16cex:durableId="2A1B4059" w16cex:dateUtc="2024-06-18T02:43:00Z"/>
  <w16cex:commentExtensible w16cex:durableId="2A244563" w16cex:dateUtc="2024-06-24T23:20:00Z"/>
  <w16cex:commentExtensible w16cex:durableId="4CFB08C4" w16cex:dateUtc="2024-06-25T18:37:00Z"/>
  <w16cex:commentExtensible w16cex:durableId="2A1C3E59" w16cex:dateUtc="2024-06-18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D942B7" w16cid:durableId="67153C27"/>
  <w16cid:commentId w16cid:paraId="78236259" w16cid:durableId="1F8A2BD3"/>
  <w16cid:commentId w16cid:paraId="4EFD38D8" w16cid:durableId="3C50BE27"/>
  <w16cid:commentId w16cid:paraId="5CCBABD8" w16cid:durableId="2B03A341"/>
  <w16cid:commentId w16cid:paraId="7C44D4F5" w16cid:durableId="2A2CF974"/>
  <w16cid:commentId w16cid:paraId="61EA6498" w16cid:durableId="2A2CF3AB"/>
  <w16cid:commentId w16cid:paraId="45865B4D" w16cid:durableId="2A2CF9AE"/>
  <w16cid:commentId w16cid:paraId="44096C45" w16cid:durableId="2A2955E4"/>
  <w16cid:commentId w16cid:paraId="6FB7AE48" w16cid:durableId="2A29560A"/>
  <w16cid:commentId w16cid:paraId="50B0FD89" w16cid:durableId="2A295656"/>
  <w16cid:commentId w16cid:paraId="29688853" w16cid:durableId="5945EE91"/>
  <w16cid:commentId w16cid:paraId="7B23377A" w16cid:durableId="612125A3"/>
  <w16cid:commentId w16cid:paraId="3E1A4C50" w16cid:durableId="2A1AF3CB"/>
  <w16cid:commentId w16cid:paraId="629A108B" w16cid:durableId="2A1AF3D8"/>
  <w16cid:commentId w16cid:paraId="1EFA268D" w16cid:durableId="2A0B1055"/>
  <w16cid:commentId w16cid:paraId="0B004AF6" w16cid:durableId="2A1B4059"/>
  <w16cid:commentId w16cid:paraId="5861A3FE" w16cid:durableId="2A244563"/>
  <w16cid:commentId w16cid:paraId="3DCCC76B" w16cid:durableId="4CFB08C4"/>
  <w16cid:commentId w16cid:paraId="2BF6F1F8" w16cid:durableId="2A1C3E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6110" w14:textId="77777777" w:rsidR="00F40E15" w:rsidRDefault="00F40E15" w:rsidP="008918B9">
      <w:pPr>
        <w:spacing w:after="0" w:line="240" w:lineRule="auto"/>
      </w:pPr>
      <w:r>
        <w:separator/>
      </w:r>
    </w:p>
  </w:endnote>
  <w:endnote w:type="continuationSeparator" w:id="0">
    <w:p w14:paraId="12E6BE45" w14:textId="77777777" w:rsidR="00F40E15" w:rsidRDefault="00F40E15" w:rsidP="008918B9">
      <w:pPr>
        <w:spacing w:after="0" w:line="240" w:lineRule="auto"/>
      </w:pPr>
      <w:r>
        <w:continuationSeparator/>
      </w:r>
    </w:p>
  </w:endnote>
  <w:endnote w:type="continuationNotice" w:id="1">
    <w:p w14:paraId="518D14BF" w14:textId="77777777" w:rsidR="00F40E15" w:rsidRDefault="00F40E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637AF" w14:textId="77777777" w:rsidR="00F40E15" w:rsidRDefault="00F40E15" w:rsidP="008918B9">
      <w:pPr>
        <w:spacing w:after="0" w:line="240" w:lineRule="auto"/>
      </w:pPr>
      <w:r>
        <w:separator/>
      </w:r>
    </w:p>
  </w:footnote>
  <w:footnote w:type="continuationSeparator" w:id="0">
    <w:p w14:paraId="4C59A83E" w14:textId="77777777" w:rsidR="00F40E15" w:rsidRDefault="00F40E15" w:rsidP="008918B9">
      <w:pPr>
        <w:spacing w:after="0" w:line="240" w:lineRule="auto"/>
      </w:pPr>
      <w:r>
        <w:continuationSeparator/>
      </w:r>
    </w:p>
  </w:footnote>
  <w:footnote w:type="continuationNotice" w:id="1">
    <w:p w14:paraId="398E3F11" w14:textId="77777777" w:rsidR="00F40E15" w:rsidRDefault="00F40E15">
      <w:pPr>
        <w:spacing w:after="0" w:line="240" w:lineRule="auto"/>
      </w:pPr>
    </w:p>
  </w:footnote>
  <w:footnote w:id="2">
    <w:p w14:paraId="2368B253" w14:textId="25818855" w:rsidR="0030494B" w:rsidRDefault="0030494B">
      <w:pPr>
        <w:pStyle w:val="FootnoteText"/>
      </w:pPr>
      <w:r>
        <w:rPr>
          <w:rStyle w:val="FootnoteReference"/>
        </w:rPr>
        <w:footnoteRef/>
      </w:r>
      <w:r>
        <w:t xml:space="preserve"> World Bank Scorecard </w:t>
      </w:r>
      <w:hyperlink r:id="rId1" w:history="1">
        <w:r w:rsidRPr="00703A1C">
          <w:rPr>
            <w:rStyle w:val="Hyperlink"/>
          </w:rPr>
          <w:t>https://documents1.worldbank.org/curated/en/099121223173511026/pdf/BOSIB1ab32eaff0051a2191da7db5542842.pdf</w:t>
        </w:r>
      </w:hyperlink>
    </w:p>
    <w:p w14:paraId="528873F9" w14:textId="77777777" w:rsidR="0030494B" w:rsidRDefault="0030494B">
      <w:pPr>
        <w:pStyle w:val="FootnoteText"/>
      </w:pPr>
    </w:p>
  </w:footnote>
  <w:footnote w:id="3">
    <w:p w14:paraId="1B0CBDDE" w14:textId="0C847F41" w:rsidR="006E6B21" w:rsidRPr="00077757" w:rsidRDefault="006E6B21" w:rsidP="00CA43C3">
      <w:pPr>
        <w:spacing w:after="0"/>
        <w:jc w:val="both"/>
        <w:rPr>
          <w:rFonts w:ascii="Open Sans" w:hAnsi="Open Sans" w:cs="Open Sans"/>
          <w:sz w:val="18"/>
          <w:szCs w:val="18"/>
        </w:rPr>
      </w:pPr>
      <w:r w:rsidRPr="005319E6">
        <w:rPr>
          <w:rStyle w:val="FootnoteReference"/>
        </w:rPr>
        <w:footnoteRef/>
      </w:r>
      <w:r w:rsidRPr="00077757">
        <w:rPr>
          <w:rFonts w:ascii="Open Sans" w:hAnsi="Open Sans" w:cs="Open Sans"/>
          <w:sz w:val="18"/>
          <w:szCs w:val="18"/>
        </w:rPr>
        <w:t xml:space="preserve"> This ensures that recent data cover at least half of the population globally and in low- and lower-middle-income countries, which is the coverage threshold required for reporting the global poverty aggregate </w:t>
      </w:r>
      <w:r w:rsidRPr="00077757">
        <w:rPr>
          <w:rFonts w:ascii="Open Sans" w:hAnsi="Open Sans" w:cs="Open Sans"/>
          <w:sz w:val="18"/>
          <w:szCs w:val="18"/>
        </w:rPr>
        <w:fldChar w:fldCharType="begin"/>
      </w:r>
      <w:r w:rsidR="000456FF">
        <w:rPr>
          <w:rFonts w:ascii="Open Sans" w:hAnsi="Open Sans" w:cs="Open Sans"/>
          <w:sz w:val="18"/>
          <w:szCs w:val="18"/>
        </w:rPr>
        <w:instrText xml:space="preserve"> ADDIN ZOTERO_ITEM CSL_CITATION {"citationID":"uhw6Pb1n","properties":{"formattedCitation":"(World Bank, 2024b)","plainCitation":"(World Bank, 2024b)","noteIndex":1},"citationItems":[{"id":"Qynwqofk/zHbqq3DO","uris":["http://zotero.org/groups/4403230/items/TVNDALF9"],"itemData":{"id":1641,"type":"book","abstract":"&lt;p&gt;This site describes how global and regional poverty rates are\n•calculated.&lt;/p&gt;","title":"Poverty and Inequality Platform Methodology Handbook","URL":"https://datanalytics.worldbank.org/PIP-Methodology/","author":[{"literal":"World Bank"}],"accessed":{"date-parts":[["2024",3,15]]},"issued":{"date-parts":[["2024",9]]}}}],"schema":"https://github.com/citation-style-language/schema/raw/master/csl-citation.json"} </w:instrText>
      </w:r>
      <w:r w:rsidRPr="00077757">
        <w:rPr>
          <w:rFonts w:ascii="Open Sans" w:hAnsi="Open Sans" w:cs="Open Sans"/>
          <w:sz w:val="18"/>
          <w:szCs w:val="18"/>
        </w:rPr>
        <w:fldChar w:fldCharType="separate"/>
      </w:r>
      <w:r w:rsidRPr="00077757">
        <w:rPr>
          <w:rFonts w:ascii="Open Sans" w:hAnsi="Open Sans" w:cs="Open Sans"/>
          <w:sz w:val="18"/>
          <w:szCs w:val="18"/>
        </w:rPr>
        <w:t>(World Bank, 2024b)</w:t>
      </w:r>
      <w:r w:rsidRPr="00077757">
        <w:rPr>
          <w:rFonts w:ascii="Open Sans" w:hAnsi="Open Sans" w:cs="Open Sans"/>
          <w:sz w:val="18"/>
          <w:szCs w:val="18"/>
        </w:rPr>
        <w:fldChar w:fldCharType="end"/>
      </w:r>
      <w:r w:rsidRPr="00077757">
        <w:rPr>
          <w:rFonts w:ascii="Open Sans" w:hAnsi="Open Sans" w:cs="Open Sans"/>
          <w:sz w:val="18"/>
          <w:szCs w:val="18"/>
        </w:rPr>
        <w:t xml:space="preserve">. </w:t>
      </w:r>
    </w:p>
  </w:footnote>
  <w:footnote w:id="4">
    <w:p w14:paraId="6A29B741" w14:textId="0B74E891" w:rsidR="004B3513" w:rsidRPr="00077757" w:rsidRDefault="004B3513" w:rsidP="00077757">
      <w:pPr>
        <w:pStyle w:val="FootnoteText"/>
        <w:jc w:val="both"/>
        <w:rPr>
          <w:rFonts w:ascii="Open Sans" w:hAnsi="Open Sans" w:cs="Open Sans"/>
          <w:sz w:val="18"/>
          <w:szCs w:val="18"/>
        </w:rPr>
      </w:pPr>
      <w:r w:rsidRPr="005319E6">
        <w:rPr>
          <w:rStyle w:val="FootnoteReference"/>
        </w:rPr>
        <w:footnoteRef/>
      </w:r>
      <w:r w:rsidRPr="00077757">
        <w:rPr>
          <w:rFonts w:ascii="Open Sans" w:hAnsi="Open Sans" w:cs="Open Sans"/>
          <w:sz w:val="18"/>
          <w:szCs w:val="18"/>
        </w:rPr>
        <w:t xml:space="preserve"> The potential benefits of data are almost limitless; there are direct benefits to individuals and indirect benefits or spillovers to the society. Data can be used, re-used, shared and re-shared for several purposes, both intended and unintended </w:t>
      </w:r>
      <w:r w:rsidRPr="00077757">
        <w:rPr>
          <w:rFonts w:ascii="Open Sans" w:hAnsi="Open Sans" w:cs="Open Sans"/>
          <w:sz w:val="18"/>
          <w:szCs w:val="18"/>
        </w:rPr>
        <w:fldChar w:fldCharType="begin"/>
      </w:r>
      <w:r w:rsidR="000456FF">
        <w:rPr>
          <w:rFonts w:ascii="Open Sans" w:hAnsi="Open Sans" w:cs="Open Sans"/>
          <w:sz w:val="18"/>
          <w:szCs w:val="18"/>
        </w:rPr>
        <w:instrText xml:space="preserve"> ADDIN ZOTERO_ITEM CSL_CITATION {"citationID":"fT5VCcBn","properties":{"formattedCitation":"(World Bank, 2021)","plainCitation":"(World Bank, 2021)","noteIndex":2},"citationItems":[{"id":1621,"uris":["http://zotero.org/groups/5125234/items/FK9AFLST"],"itemData":{"id":1621,"type":"report","publisher":"World Bank","title":"World Development Report 2021: Data for better lives","URL":"https://www.worldbank.org/en/publication/wdr2021","author":[{"literal":"World Bank"}],"accessed":{"date-parts":[["2024",6,5]]},"issued":{"date-parts":[["2021"]]}}}],"schema":"https://github.com/citation-style-language/schema/raw/master/csl-citation.json"} </w:instrText>
      </w:r>
      <w:r w:rsidRPr="00077757">
        <w:rPr>
          <w:rFonts w:ascii="Open Sans" w:hAnsi="Open Sans" w:cs="Open Sans"/>
          <w:sz w:val="18"/>
          <w:szCs w:val="18"/>
        </w:rPr>
        <w:fldChar w:fldCharType="separate"/>
      </w:r>
      <w:r w:rsidRPr="00077757">
        <w:rPr>
          <w:rFonts w:ascii="Open Sans" w:hAnsi="Open Sans" w:cs="Open Sans"/>
          <w:sz w:val="18"/>
          <w:szCs w:val="18"/>
        </w:rPr>
        <w:t>(World Bank, 2021)</w:t>
      </w:r>
      <w:r w:rsidRPr="00077757">
        <w:rPr>
          <w:rFonts w:ascii="Open Sans" w:hAnsi="Open Sans" w:cs="Open Sans"/>
          <w:sz w:val="18"/>
          <w:szCs w:val="18"/>
        </w:rPr>
        <w:fldChar w:fldCharType="end"/>
      </w:r>
      <w:r w:rsidRPr="00077757">
        <w:rPr>
          <w:rFonts w:ascii="Open Sans" w:hAnsi="Open Sans" w:cs="Open Sans"/>
          <w:sz w:val="18"/>
          <w:szCs w:val="18"/>
        </w:rPr>
        <w:t>. However, like all public goods, because they are non-rivalry and non-excludable in consumption, private producers are unable to charge commensurate prices to cover the huge cost of production and reflect the marginal benefits accruing to all consumers. Without the intervention of governments, data will thus remain scarce.</w:t>
      </w:r>
    </w:p>
  </w:footnote>
  <w:footnote w:id="5">
    <w:p w14:paraId="47716024" w14:textId="32B9ECE0" w:rsidR="00C70A76" w:rsidRDefault="00C70A76">
      <w:pPr>
        <w:pStyle w:val="FootnoteText"/>
      </w:pPr>
      <w:r w:rsidRPr="00C84B69">
        <w:rPr>
          <w:rStyle w:val="FootnoteReference"/>
        </w:rPr>
        <w:footnoteRef/>
      </w:r>
      <w:r>
        <w:t xml:space="preserve"> </w:t>
      </w:r>
      <w:hyperlink r:id="rId2" w:history="1">
        <w:r w:rsidRPr="00F73E73">
          <w:rPr>
            <w:rStyle w:val="Hyperlink"/>
          </w:rPr>
          <w:t>https://unstats.un.org/unsd/statcom/53rd-session/documents/BG-3a-Position-Household-Survey-for-Next-Decade-E.pdf</w:t>
        </w:r>
      </w:hyperlink>
    </w:p>
  </w:footnote>
  <w:footnote w:id="6">
    <w:p w14:paraId="5F02F5ED" w14:textId="77777777" w:rsidR="007D49DC" w:rsidRPr="000D6FA3" w:rsidRDefault="007D49DC" w:rsidP="007D49DC">
      <w:pPr>
        <w:pStyle w:val="FootnoteText"/>
        <w:jc w:val="both"/>
        <w:rPr>
          <w:rFonts w:ascii="Open Sans" w:hAnsi="Open Sans" w:cs="Open Sans"/>
          <w:szCs w:val="18"/>
        </w:rPr>
      </w:pPr>
      <w:r w:rsidRPr="00C84B69">
        <w:rPr>
          <w:rStyle w:val="FootnoteReference"/>
        </w:rPr>
        <w:footnoteRef/>
      </w:r>
      <w:r w:rsidRPr="008B672D">
        <w:rPr>
          <w:rFonts w:ascii="Open Sans" w:hAnsi="Open Sans" w:cs="Open Sans"/>
          <w:sz w:val="16"/>
          <w:szCs w:val="16"/>
        </w:rPr>
        <w:t xml:space="preserve"> See also </w:t>
      </w:r>
      <w:hyperlink r:id="rId3" w:history="1">
        <w:r w:rsidRPr="008B672D">
          <w:rPr>
            <w:rStyle w:val="Hyperlink"/>
            <w:rFonts w:ascii="Open Sans" w:hAnsi="Open Sans" w:cs="Open Sans"/>
            <w:sz w:val="16"/>
            <w:szCs w:val="16"/>
          </w:rPr>
          <w:t>https://edgar.jrc.ec.europa.eu/methodology</w:t>
        </w:r>
      </w:hyperlink>
      <w:r w:rsidRPr="000D6FA3">
        <w:rPr>
          <w:rFonts w:ascii="Open Sans" w:hAnsi="Open Sans" w:cs="Open Sans"/>
          <w:szCs w:val="18"/>
        </w:rPr>
        <w:t xml:space="preserve"> </w:t>
      </w:r>
    </w:p>
  </w:footnote>
  <w:footnote w:id="7">
    <w:p w14:paraId="7F180852" w14:textId="77777777" w:rsidR="008B084B" w:rsidRDefault="008B084B" w:rsidP="008B084B">
      <w:pPr>
        <w:pStyle w:val="FootnoteText"/>
      </w:pPr>
      <w:r w:rsidRPr="005319E6">
        <w:rPr>
          <w:rStyle w:val="FootnoteReference"/>
        </w:rPr>
        <w:footnoteRef/>
      </w:r>
      <w:r w:rsidRPr="00AE1456">
        <w:rPr>
          <w:rFonts w:ascii="Open Sans" w:hAnsi="Open Sans" w:cs="Open Sans"/>
          <w:sz w:val="16"/>
          <w:szCs w:val="16"/>
        </w:rPr>
        <w:t xml:space="preserve"> </w:t>
      </w:r>
      <w:r w:rsidRPr="00AE1456">
        <w:rPr>
          <w:rFonts w:ascii="Open Sans" w:eastAsia="Times New Roman" w:hAnsi="Open Sans" w:cs="Open Sans"/>
          <w:color w:val="100E2B"/>
          <w:sz w:val="16"/>
          <w:szCs w:val="16"/>
        </w:rPr>
        <w:t>EDGAR v8.0's GHG estimates for combustion and industrial processes are based on the application of IPCC GHG accounting methodology across all countries. EDGAR uses data from the IEA, Energy Institute, UNFCCC, FAO, and other reputable sources to derive GHG emissions at subnational and sub-sectoral level based on activity and emission factors.</w:t>
      </w:r>
    </w:p>
  </w:footnote>
  <w:footnote w:id="8">
    <w:p w14:paraId="02BD53B9" w14:textId="380BBC2C" w:rsidR="006B56CA" w:rsidRPr="00077757" w:rsidRDefault="00B53F11" w:rsidP="006B56CA">
      <w:pPr>
        <w:spacing w:line="240" w:lineRule="auto"/>
        <w:jc w:val="both"/>
        <w:rPr>
          <w:rFonts w:ascii="Open Sans" w:hAnsi="Open Sans" w:cs="Open Sans"/>
          <w:sz w:val="18"/>
          <w:szCs w:val="18"/>
        </w:rPr>
      </w:pPr>
      <w:r w:rsidRPr="005319E6">
        <w:rPr>
          <w:rStyle w:val="FootnoteReference"/>
        </w:rPr>
        <w:footnoteRef/>
      </w:r>
      <w:r w:rsidRPr="00077757">
        <w:rPr>
          <w:rFonts w:ascii="Open Sans" w:hAnsi="Open Sans" w:cs="Open Sans"/>
          <w:sz w:val="18"/>
          <w:szCs w:val="18"/>
        </w:rPr>
        <w:t xml:space="preserve"> Conceptually, income is a measure of the potential purchasing power of all goods and services while consumption is a direct measure of the goods and services that the individual or household has </w:t>
      </w:r>
      <w:proofErr w:type="gramStart"/>
      <w:r w:rsidRPr="00077757">
        <w:rPr>
          <w:rFonts w:ascii="Open Sans" w:hAnsi="Open Sans" w:cs="Open Sans"/>
          <w:sz w:val="18"/>
          <w:szCs w:val="18"/>
        </w:rPr>
        <w:t>actually obtained</w:t>
      </w:r>
      <w:proofErr w:type="gramEnd"/>
      <w:r w:rsidRPr="00077757">
        <w:rPr>
          <w:rFonts w:ascii="Open Sans" w:hAnsi="Open Sans" w:cs="Open Sans"/>
          <w:sz w:val="18"/>
          <w:szCs w:val="18"/>
        </w:rPr>
        <w:t xml:space="preserve">. Richer individuals and households tend to save more compared to poorer households. This means that on average the inequality of consumption (realized outcomes) is usually lower than that of income for the same set of households. </w:t>
      </w:r>
      <w:r w:rsidR="006B56CA" w:rsidRPr="00077757">
        <w:rPr>
          <w:rFonts w:ascii="Open Sans" w:hAnsi="Open Sans" w:cs="Open Sans"/>
          <w:sz w:val="18"/>
          <w:szCs w:val="18"/>
        </w:rPr>
        <w:t>In addition, while consumption tends have less fluctuations over time, income, is generally more volatile in the sense that it may be influenced greatly by seasonal factors or by interruptions in employment, particularly in the agricultural and informal sectors. Households can also declare zero and even negative income on a survey but exhibit a consumption level that is strictly positive drawing from savings.</w:t>
      </w:r>
      <w:r w:rsidR="006B56CA" w:rsidRPr="00077757">
        <w:rPr>
          <w:rStyle w:val="FootnoteReference"/>
          <w:sz w:val="18"/>
          <w:szCs w:val="18"/>
        </w:rPr>
        <w:footnoteRef/>
      </w:r>
      <w:r w:rsidR="006B56CA" w:rsidRPr="00077757">
        <w:rPr>
          <w:rFonts w:ascii="Open Sans" w:hAnsi="Open Sans" w:cs="Open Sans"/>
          <w:sz w:val="18"/>
          <w:szCs w:val="18"/>
        </w:rPr>
        <w:t xml:space="preserve"> Sudden losses of employment can reduce income dramatically, but changes in consumption depend on the availability of factors such as safety nets and within- and between-household transfers, and on whether shocks are transitory or permanent </w:t>
      </w:r>
      <w:r w:rsidR="006B56CA" w:rsidRPr="00077757">
        <w:rPr>
          <w:rFonts w:ascii="Open Sans" w:hAnsi="Open Sans" w:cs="Open Sans"/>
          <w:sz w:val="18"/>
          <w:szCs w:val="18"/>
        </w:rPr>
        <w:fldChar w:fldCharType="begin"/>
      </w:r>
      <w:r w:rsidR="000456FF">
        <w:rPr>
          <w:rFonts w:ascii="Open Sans" w:hAnsi="Open Sans" w:cs="Open Sans"/>
          <w:sz w:val="18"/>
          <w:szCs w:val="18"/>
        </w:rPr>
        <w:instrText xml:space="preserve"> ADDIN ZOTERO_ITEM CSL_CITATION {"citationID":"Z7CsVaRk","properties":{"formattedCitation":"(Jappelli and Pistaferri, 2010)","plainCitation":"(Jappelli and Pistaferri, 2010)","noteIndex":6},"citationItems":[{"id":1694,"uris":["http://zotero.org/groups/5125234/items/BV4VS7UX"],"itemData":{"id":1694,"type":"article-journal","abstract":"We review different empirical approaches that researchers have taken to estimate how consumption responds to income changes. We critically evaluate the empirical evidence on the sensitivity of consumption to predicted income changes, distinguishing between the traditional excess sensitivity tests and the effect of predicted income increases and income declines. We also review studies that attempt to estimate the marginal propensity to consume out of income shocks, distinguishing between three different approaches: identifying episodes in which income changes unexpectedly, relying on the covariance restrictions that the theory imposes on the joint behavior of consumption and income growth, and combining realizations and expectations of income or consumption in surveys in which data on subjective expectations are available.","container-title":"Annual Review of Economics","DOI":"10.1146/annurev.economics.050708.142933","ISSN":"1941-1383, 1941-1391","issue":"Volume 2, 2010","language":"en","note":"publisher: Annual Reviews","page":"479-506","source":"www.annualreviews.org","title":"The Consumption Response to Income Changes","volume":"2","author":[{"family":"Jappelli","given":"Tullio"},{"family":"Pistaferri","given":"Luigi"}],"issued":{"date-parts":[["2010",9,4]]}}}],"schema":"https://github.com/citation-style-language/schema/raw/master/csl-citation.json"} </w:instrText>
      </w:r>
      <w:r w:rsidR="006B56CA" w:rsidRPr="00077757">
        <w:rPr>
          <w:rFonts w:ascii="Open Sans" w:hAnsi="Open Sans" w:cs="Open Sans"/>
          <w:sz w:val="18"/>
          <w:szCs w:val="18"/>
        </w:rPr>
        <w:fldChar w:fldCharType="separate"/>
      </w:r>
      <w:r w:rsidR="006B56CA" w:rsidRPr="00077757">
        <w:rPr>
          <w:rFonts w:ascii="Open Sans" w:hAnsi="Open Sans" w:cs="Open Sans"/>
          <w:sz w:val="18"/>
          <w:szCs w:val="18"/>
        </w:rPr>
        <w:t>(Jappelli and Pistaferri, 2010)</w:t>
      </w:r>
      <w:r w:rsidR="006B56CA" w:rsidRPr="00077757">
        <w:rPr>
          <w:rFonts w:ascii="Open Sans" w:hAnsi="Open Sans" w:cs="Open Sans"/>
          <w:sz w:val="18"/>
          <w:szCs w:val="18"/>
        </w:rPr>
        <w:fldChar w:fldCharType="end"/>
      </w:r>
      <w:r w:rsidR="006B56CA" w:rsidRPr="00077757">
        <w:rPr>
          <w:rFonts w:ascii="Open Sans" w:hAnsi="Open Sans" w:cs="Open Sans"/>
          <w:sz w:val="18"/>
          <w:szCs w:val="18"/>
        </w:rPr>
        <w:t>. Other issues such as consumption of home-produced foods also tends to be difficult to capture in surveys leading to comparatively zero or negative income.</w:t>
      </w:r>
    </w:p>
    <w:p w14:paraId="2FCF8EEA" w14:textId="3441952F" w:rsidR="00B53F11" w:rsidRPr="00077757" w:rsidRDefault="00B53F11" w:rsidP="00B53F11">
      <w:pPr>
        <w:spacing w:line="240" w:lineRule="auto"/>
        <w:jc w:val="both"/>
        <w:rPr>
          <w:rFonts w:ascii="Open Sans" w:hAnsi="Open Sans" w:cs="Open Sans"/>
          <w:sz w:val="18"/>
          <w:szCs w:val="18"/>
        </w:rPr>
      </w:pPr>
    </w:p>
    <w:p w14:paraId="2F8619EA" w14:textId="48AA674C" w:rsidR="00B53F11" w:rsidRDefault="00B53F11">
      <w:pPr>
        <w:pStyle w:val="FootnoteText"/>
      </w:pPr>
    </w:p>
  </w:footnote>
  <w:footnote w:id="9">
    <w:p w14:paraId="413B1873" w14:textId="77777777" w:rsidR="00DE2B25" w:rsidRDefault="00DE2B25" w:rsidP="00DE2B25">
      <w:pPr>
        <w:pStyle w:val="FootnoteText"/>
      </w:pPr>
      <w:r w:rsidRPr="00C84B69">
        <w:rPr>
          <w:rStyle w:val="FootnoteReference"/>
        </w:rPr>
        <w:footnoteRef/>
      </w:r>
      <w:r>
        <w:t xml:space="preserve"> For example, one method is observed-weighted food record data.  See Gibson (2005) for details.</w:t>
      </w:r>
    </w:p>
  </w:footnote>
  <w:footnote w:id="10">
    <w:p w14:paraId="1325BFFC" w14:textId="6D53E04A" w:rsidR="00DE2B25" w:rsidRPr="00DE2B25" w:rsidRDefault="00DE2B25" w:rsidP="00DE2B25">
      <w:pPr>
        <w:pStyle w:val="FootnoteText"/>
        <w:jc w:val="both"/>
        <w:rPr>
          <w:rFonts w:ascii="Open Sans" w:hAnsi="Open Sans" w:cs="Open Sans"/>
          <w:sz w:val="16"/>
          <w:szCs w:val="16"/>
        </w:rPr>
      </w:pPr>
      <w:r w:rsidRPr="00C84B69">
        <w:rPr>
          <w:rStyle w:val="FootnoteReference"/>
        </w:rPr>
        <w:footnoteRef/>
      </w:r>
      <w:r w:rsidRPr="00DE2B25">
        <w:rPr>
          <w:rFonts w:ascii="Open Sans" w:hAnsi="Open Sans" w:cs="Open Sans"/>
          <w:sz w:val="16"/>
          <w:szCs w:val="16"/>
        </w:rPr>
        <w:t xml:space="preserve"> Under plausible and empirically supported assumptions, undernourishment is concentrated amongst the extreme poor.  And thus</w:t>
      </w:r>
      <w:r w:rsidR="00141168">
        <w:rPr>
          <w:rFonts w:ascii="Open Sans" w:hAnsi="Open Sans" w:cs="Open Sans"/>
          <w:sz w:val="16"/>
          <w:szCs w:val="16"/>
        </w:rPr>
        <w:t>,</w:t>
      </w:r>
      <w:r w:rsidRPr="00DE2B25">
        <w:rPr>
          <w:rFonts w:ascii="Open Sans" w:hAnsi="Open Sans" w:cs="Open Sans"/>
          <w:sz w:val="16"/>
          <w:szCs w:val="16"/>
        </w:rPr>
        <w:t xml:space="preserve"> the degree </w:t>
      </w:r>
      <w:r w:rsidR="00F970AB">
        <w:rPr>
          <w:rFonts w:ascii="Open Sans" w:hAnsi="Open Sans" w:cs="Open Sans"/>
          <w:sz w:val="16"/>
          <w:szCs w:val="16"/>
        </w:rPr>
        <w:t xml:space="preserve">of overlap between </w:t>
      </w:r>
      <w:r w:rsidRPr="00DE2B25">
        <w:rPr>
          <w:rFonts w:ascii="Open Sans" w:hAnsi="Open Sans" w:cs="Open Sans"/>
          <w:sz w:val="16"/>
          <w:szCs w:val="16"/>
        </w:rPr>
        <w:t xml:space="preserve">the FIES </w:t>
      </w:r>
      <w:r w:rsidR="00F970AB">
        <w:rPr>
          <w:rFonts w:ascii="Open Sans" w:hAnsi="Open Sans" w:cs="Open Sans"/>
          <w:sz w:val="16"/>
          <w:szCs w:val="16"/>
        </w:rPr>
        <w:t xml:space="preserve">and </w:t>
      </w:r>
      <w:r w:rsidRPr="00DE2B25">
        <w:rPr>
          <w:rFonts w:ascii="Open Sans" w:hAnsi="Open Sans" w:cs="Open Sans"/>
          <w:sz w:val="16"/>
          <w:szCs w:val="16"/>
        </w:rPr>
        <w:t xml:space="preserve">extreme </w:t>
      </w:r>
      <w:r w:rsidR="00F970AB">
        <w:rPr>
          <w:rFonts w:ascii="Open Sans" w:hAnsi="Open Sans" w:cs="Open Sans"/>
          <w:sz w:val="16"/>
          <w:szCs w:val="16"/>
        </w:rPr>
        <w:t xml:space="preserve">poverty is informative on </w:t>
      </w:r>
      <w:r w:rsidRPr="00DE2B25">
        <w:rPr>
          <w:rFonts w:ascii="Open Sans" w:hAnsi="Open Sans" w:cs="Open Sans"/>
          <w:sz w:val="16"/>
          <w:szCs w:val="16"/>
        </w:rPr>
        <w:t>whether those that are moderately or severely food insecure are those that are most likely to be undernourished.</w:t>
      </w:r>
    </w:p>
  </w:footnote>
  <w:footnote w:id="11">
    <w:p w14:paraId="2A42CF9C" w14:textId="77777777" w:rsidR="00DE2B25" w:rsidRDefault="00DE2B25" w:rsidP="00DE2B25">
      <w:pPr>
        <w:pStyle w:val="FootnoteText"/>
        <w:jc w:val="both"/>
      </w:pPr>
      <w:r w:rsidRPr="00C84B69">
        <w:rPr>
          <w:rStyle w:val="FootnoteReference"/>
        </w:rPr>
        <w:footnoteRef/>
      </w:r>
      <w:r w:rsidRPr="00DE2B25">
        <w:rPr>
          <w:rFonts w:ascii="Open Sans" w:hAnsi="Open Sans" w:cs="Open Sans"/>
          <w:sz w:val="16"/>
          <w:szCs w:val="16"/>
        </w:rPr>
        <w:t xml:space="preserve"> These figures omit countries in which the most recent household survey was fielded before the FIES was developed in 2014.</w:t>
      </w:r>
      <w:r>
        <w:t xml:space="preserve">  </w:t>
      </w:r>
    </w:p>
  </w:footnote>
  <w:footnote w:id="12">
    <w:p w14:paraId="7A6D62EB" w14:textId="77777777" w:rsidR="00781FBC" w:rsidRPr="00910899" w:rsidRDefault="00781FBC" w:rsidP="008F0F4D">
      <w:pPr>
        <w:pStyle w:val="FootnoteText"/>
        <w:jc w:val="both"/>
        <w:rPr>
          <w:rFonts w:ascii="Open Sans" w:hAnsi="Open Sans" w:cs="Open Sans"/>
          <w:sz w:val="18"/>
          <w:szCs w:val="18"/>
        </w:rPr>
      </w:pPr>
      <w:r w:rsidRPr="00910899">
        <w:rPr>
          <w:rStyle w:val="FootnoteReference"/>
          <w:rFonts w:ascii="Open Sans" w:hAnsi="Open Sans" w:cs="Open Sans"/>
          <w:sz w:val="18"/>
          <w:szCs w:val="18"/>
        </w:rPr>
        <w:footnoteRef/>
      </w:r>
      <w:r w:rsidRPr="00910899">
        <w:rPr>
          <w:rFonts w:ascii="Open Sans" w:hAnsi="Open Sans" w:cs="Open Sans"/>
          <w:sz w:val="18"/>
          <w:szCs w:val="18"/>
        </w:rPr>
        <w:t xml:space="preserve"> Please see “WBG SCORECARD FY24-FY30 METHODOLOGY NOTE” for further details on data sources and measurement for the included hazards and vulnerability indicators.</w:t>
      </w:r>
    </w:p>
  </w:footnote>
  <w:footnote w:id="13">
    <w:p w14:paraId="52E1DCCE" w14:textId="41591E3B" w:rsidR="000E5D23" w:rsidRPr="00077757" w:rsidRDefault="000E5D23">
      <w:pPr>
        <w:pStyle w:val="FootnoteText"/>
        <w:rPr>
          <w:sz w:val="16"/>
          <w:szCs w:val="16"/>
        </w:rPr>
      </w:pPr>
      <w:r w:rsidRPr="00910899">
        <w:rPr>
          <w:rStyle w:val="FootnoteReference"/>
          <w:rFonts w:ascii="Open Sans" w:hAnsi="Open Sans" w:cs="Open Sans"/>
          <w:sz w:val="18"/>
          <w:szCs w:val="18"/>
        </w:rPr>
        <w:footnoteRef/>
      </w:r>
      <w:r w:rsidRPr="00910899">
        <w:rPr>
          <w:rFonts w:ascii="Open Sans" w:hAnsi="Open Sans" w:cs="Open Sans"/>
          <w:sz w:val="18"/>
          <w:szCs w:val="18"/>
        </w:rPr>
        <w:t xml:space="preserve"> Wildfires are also direct consequences of human activity such as arson or negligence, and global data availability limits accuracy of predictions, for instance because effects can be felt in different locations than fires themselves (think of smoke and air pollution) </w:t>
      </w:r>
      <w:r w:rsidRPr="00910899">
        <w:rPr>
          <w:rFonts w:ascii="Open Sans" w:hAnsi="Open Sans" w:cs="Open Sans"/>
          <w:sz w:val="18"/>
          <w:szCs w:val="18"/>
        </w:rPr>
        <w:fldChar w:fldCharType="begin"/>
      </w:r>
      <w:r w:rsidR="000456FF" w:rsidRPr="00910899">
        <w:rPr>
          <w:rFonts w:ascii="Open Sans" w:hAnsi="Open Sans" w:cs="Open Sans"/>
          <w:sz w:val="18"/>
          <w:szCs w:val="18"/>
        </w:rPr>
        <w:instrText xml:space="preserve"> ADDIN ZOTERO_ITEM CSL_CITATION {"citationID":"ZTj921Af","properties":{"formattedCitation":"(Qiu et al., 2024)","plainCitation":"(Qiu et al., 2024)","noteIndex":12},"citationItems":[{"id":1472,"uris":["http://zotero.org/groups/5125234/items/7CDLY4KG"],"itemData":{"id":1472,"type":"article","abstract":"Wildfire activity has increased in the US and is projected to accelerate under future climate change. However, our understanding of the impacts of climate change on wildfire smoke and health remains highly uncertain. We quantify the past and future mortality burden in the US due to wildfire smoke fine particulate matter (PM2.5). We construct an ensemble of statistical and machine learning models that link variation in climate to wildfire smoke PM2.5, and empirically estimate smoke PM2.5-mortality relationships using georeferenced data on all recorded deaths in the US from 2006 to 2019. We project that climate-driven increases in future smoke PM2.5 could result in 27,800 excess deaths per year by 2050 under a high warming scenario, a 76% increase relative to estimated 2011-2020 averages. Cumulative excess deaths from wildfire smoke PM2.5 could exceed 700,000 between 2025-2055. When monetized, climate-induced smoke deaths result in annual damages of $244 billion by mid-century, comparable to the estimated sum of all other damages in the US in prior analyses. Our research suggests that the health cost of climate-driven wildfire smoke could be among the most important and costly consequences of a warming climate in the US.","collection-title":"Working Paper Series","DOI":"10.3386/w32307","genre":"Working Paper","note":"DOI: 10.3386/w32307","number":"32307","publisher":"National Bureau of Economic Research","source":"National Bureau of Economic Research","title":"Mortality Burden From Wildfire Smoke Under Climate Change","URL":"https://www.nber.org/papers/w32307","author":[{"family":"Qiu","given":"Minghao"},{"family":"Li","given":"Jessica"},{"family":"Gould","given":"Carlos F."},{"family":"Jing","given":"Renzhi"},{"family":"Kelp","given":"Makoto"},{"family":"Childs","given":"Marissa"},{"family":"Kiang","given":"Mathew"},{"family":"Heft-Neal","given":"Sam"},{"family":"Diffenbaugh","given":"Noah"},{"family":"Burke","given":"Marshall"}],"accessed":{"date-parts":[["2024",4,22]]},"issued":{"date-parts":[["2024",4]]}}}],"schema":"https://github.com/citation-style-language/schema/raw/master/csl-citation.json"} </w:instrText>
      </w:r>
      <w:r w:rsidRPr="00910899">
        <w:rPr>
          <w:rFonts w:ascii="Open Sans" w:hAnsi="Open Sans" w:cs="Open Sans"/>
          <w:sz w:val="18"/>
          <w:szCs w:val="18"/>
        </w:rPr>
        <w:fldChar w:fldCharType="separate"/>
      </w:r>
      <w:r w:rsidRPr="00910899">
        <w:rPr>
          <w:rFonts w:ascii="Open Sans" w:hAnsi="Open Sans" w:cs="Open Sans"/>
          <w:sz w:val="18"/>
          <w:szCs w:val="18"/>
        </w:rPr>
        <w:t>(Qiu et al., 2024)</w:t>
      </w:r>
      <w:r w:rsidRPr="00910899">
        <w:rPr>
          <w:rFonts w:ascii="Open Sans" w:hAnsi="Open Sans" w:cs="Open Sans"/>
          <w:sz w:val="18"/>
          <w:szCs w:val="18"/>
        </w:rPr>
        <w:fldChar w:fldCharType="end"/>
      </w:r>
      <w:r w:rsidRPr="00910899">
        <w:rPr>
          <w:rFonts w:ascii="Open Sans" w:hAnsi="Open Sans" w:cs="Open Sans"/>
          <w:sz w:val="18"/>
          <w:szCs w:val="18"/>
        </w:rPr>
        <w:t>.</w:t>
      </w:r>
    </w:p>
  </w:footnote>
  <w:footnote w:id="14">
    <w:p w14:paraId="5178D1B9" w14:textId="3CC974BF" w:rsidR="00781FBC" w:rsidRPr="00D96D01" w:rsidRDefault="00781FBC" w:rsidP="008F0F4D">
      <w:pPr>
        <w:pStyle w:val="FootnoteText"/>
        <w:jc w:val="both"/>
        <w:rPr>
          <w:rFonts w:ascii="Open Sans" w:hAnsi="Open Sans" w:cs="Open Sans"/>
          <w:sz w:val="18"/>
          <w:szCs w:val="18"/>
        </w:rPr>
      </w:pPr>
      <w:r w:rsidRPr="00D96D01">
        <w:rPr>
          <w:rStyle w:val="FootnoteReference"/>
          <w:rFonts w:ascii="Open Sans" w:hAnsi="Open Sans" w:cs="Open Sans"/>
          <w:sz w:val="18"/>
          <w:szCs w:val="18"/>
        </w:rPr>
        <w:footnoteRef/>
      </w:r>
      <w:r w:rsidRPr="00D96D01">
        <w:rPr>
          <w:rFonts w:ascii="Open Sans" w:hAnsi="Open Sans" w:cs="Open Sans"/>
          <w:sz w:val="18"/>
          <w:szCs w:val="18"/>
        </w:rPr>
        <w:t xml:space="preserve"> The effect of climate shocks on migration is complex, where household responses depend on levels of assets and risks of staying, and where rapid-onset shocks (such as floods) have stronger effects than slow-onset changes </w:t>
      </w:r>
      <w:r w:rsidRPr="00D96D01">
        <w:rPr>
          <w:rFonts w:ascii="Open Sans" w:hAnsi="Open Sans" w:cs="Open Sans"/>
          <w:sz w:val="18"/>
          <w:szCs w:val="18"/>
        </w:rPr>
        <w:fldChar w:fldCharType="begin"/>
      </w:r>
      <w:r w:rsidR="000456FF" w:rsidRPr="00D96D01">
        <w:rPr>
          <w:rFonts w:ascii="Open Sans" w:hAnsi="Open Sans" w:cs="Open Sans"/>
          <w:sz w:val="18"/>
          <w:szCs w:val="18"/>
        </w:rPr>
        <w:instrText xml:space="preserve"> ADDIN ZOTERO_ITEM CSL_CITATION {"citationID":"scQg7xfQ","properties":{"formattedCitation":"(Kaczan and Orgill-Meyer, 2020)","plainCitation":"(Kaczan and Orgill-Meyer, 2020)","noteIndex":13},"citationItems":[{"id":1689,"uris":["http://zotero.org/groups/5125234/items/9H6SKBFF"],"itemData":{"id":1689,"type":"article-journal","abstract":"Concern about the human impact of climate change has led to predictions of how people living in areas vulnerable to drought, flood, and temperature changes will respond to such events. Early studies warned that climate change would lead to dramatic increases in human migration as households became unable to adapt to the impacts of climate change. More recently, empirical studies focused on observed climate events and trends have documented how migration flows vary as a function of both the severity of the event and the ability of the household to migrate, among other factors. In this paper, we provide a systematic review of this literature, based on a conceptual framework in which climate shocks (e.g., drought, floods, or temperature extremes) affect (a) household capability to migrate, by depleting household resources necessary for migration, and (b) household vulnerability in staying, by increasing the risk that a household falls (further) into poverty. In combination, these factors help explain four key patterns seen in the empirical literature: (1) climate-induced migration is not necessarily more prevalent among poorer households; (2) climate-induced migration tends to be more prevalent for long-distance domestic moves than local or international moves; (3) slow-onset climate changes (such as droughts) are more likely to induce increased migration than rapid-onset changes (such as floods); and (4) the severity of climate shocks impacts migration in a nonlinear fashion, with impacts influenced by whether the capability or vulnerability channel dominates.","container-title":"Climatic Change","DOI":"10.1007/s10584-019-02560-0","ISSN":"1573-1480","issue":"3","journalAbbreviation":"Climatic Change","language":"en","page":"281-300","source":"Springer Link","title":"The impact of climate change on migration: a synthesis of recent empirical insights","title-short":"The impact of climate change on migration","volume":"158","author":[{"family":"Kaczan","given":"David J."},{"family":"Orgill-Meyer","given":"Jennifer"}],"issued":{"date-parts":[["2020",2,1]]}}}],"schema":"https://github.com/citation-style-language/schema/raw/master/csl-citation.json"} </w:instrText>
      </w:r>
      <w:r w:rsidRPr="00D96D01">
        <w:rPr>
          <w:rFonts w:ascii="Open Sans" w:hAnsi="Open Sans" w:cs="Open Sans"/>
          <w:sz w:val="18"/>
          <w:szCs w:val="18"/>
        </w:rPr>
        <w:fldChar w:fldCharType="separate"/>
      </w:r>
      <w:r w:rsidRPr="00D96D01">
        <w:rPr>
          <w:rFonts w:ascii="Open Sans" w:hAnsi="Open Sans" w:cs="Open Sans"/>
          <w:sz w:val="18"/>
          <w:szCs w:val="18"/>
        </w:rPr>
        <w:t>(Kaczan and Orgill-Meyer, 2020)</w:t>
      </w:r>
      <w:r w:rsidRPr="00D96D01">
        <w:rPr>
          <w:rFonts w:ascii="Open Sans" w:hAnsi="Open Sans" w:cs="Open Sans"/>
          <w:sz w:val="18"/>
          <w:szCs w:val="18"/>
        </w:rPr>
        <w:fldChar w:fldCharType="end"/>
      </w:r>
      <w:r w:rsidRPr="00D96D01">
        <w:rPr>
          <w:rFonts w:ascii="Open Sans" w:hAnsi="Open Sans" w:cs="Open Sans"/>
          <w:sz w:val="18"/>
          <w:szCs w:val="18"/>
        </w:rPr>
        <w:t>.</w:t>
      </w:r>
    </w:p>
  </w:footnote>
  <w:footnote w:id="15">
    <w:p w14:paraId="340B3EDF" w14:textId="7E3FB3CA" w:rsidR="00EC3E70" w:rsidRPr="00D96D01" w:rsidRDefault="00EC3E70">
      <w:pPr>
        <w:pStyle w:val="FootnoteText"/>
        <w:rPr>
          <w:rFonts w:ascii="Open Sans" w:hAnsi="Open Sans" w:cs="Open Sans"/>
          <w:sz w:val="18"/>
          <w:szCs w:val="18"/>
        </w:rPr>
      </w:pPr>
      <w:r w:rsidRPr="00D96D01">
        <w:rPr>
          <w:rStyle w:val="FootnoteReference"/>
          <w:rFonts w:ascii="Open Sans" w:hAnsi="Open Sans" w:cs="Open Sans"/>
          <w:sz w:val="18"/>
          <w:szCs w:val="18"/>
        </w:rPr>
        <w:footnoteRef/>
      </w:r>
      <w:r w:rsidRPr="00D96D01">
        <w:rPr>
          <w:rFonts w:ascii="Open Sans" w:hAnsi="Open Sans" w:cs="Open Sans"/>
          <w:sz w:val="18"/>
          <w:szCs w:val="18"/>
        </w:rPr>
        <w:t xml:space="preserve"> </w:t>
      </w:r>
      <w:r w:rsidR="00E745AC" w:rsidRPr="00D96D01">
        <w:rPr>
          <w:rFonts w:ascii="Open Sans" w:hAnsi="Open Sans" w:cs="Open Sans"/>
          <w:sz w:val="18"/>
          <w:szCs w:val="18"/>
        </w:rPr>
        <w:t xml:space="preserve">A return period refers to the </w:t>
      </w:r>
      <w:r w:rsidR="00344663" w:rsidRPr="00D96D01">
        <w:rPr>
          <w:rFonts w:ascii="Open Sans" w:hAnsi="Open Sans" w:cs="Open Sans"/>
          <w:sz w:val="18"/>
          <w:szCs w:val="18"/>
        </w:rPr>
        <w:t>average time it takes for an event</w:t>
      </w:r>
      <w:r w:rsidR="00083635" w:rsidRPr="00D96D01">
        <w:rPr>
          <w:rFonts w:ascii="Open Sans" w:hAnsi="Open Sans" w:cs="Open Sans"/>
          <w:sz w:val="18"/>
          <w:szCs w:val="18"/>
        </w:rPr>
        <w:t xml:space="preserve"> at a specific</w:t>
      </w:r>
      <w:r w:rsidR="00344663" w:rsidRPr="00D96D01">
        <w:rPr>
          <w:rFonts w:ascii="Open Sans" w:hAnsi="Open Sans" w:cs="Open Sans"/>
          <w:sz w:val="18"/>
          <w:szCs w:val="18"/>
        </w:rPr>
        <w:t xml:space="preserve"> </w:t>
      </w:r>
      <w:r w:rsidR="00CB3B07" w:rsidRPr="00D96D01">
        <w:rPr>
          <w:rFonts w:ascii="Open Sans" w:hAnsi="Open Sans" w:cs="Open Sans"/>
          <w:sz w:val="18"/>
          <w:szCs w:val="18"/>
        </w:rPr>
        <w:t xml:space="preserve">intensity level </w:t>
      </w:r>
      <w:r w:rsidR="00344663" w:rsidRPr="00D96D01">
        <w:rPr>
          <w:rFonts w:ascii="Open Sans" w:hAnsi="Open Sans" w:cs="Open Sans"/>
          <w:sz w:val="18"/>
          <w:szCs w:val="18"/>
        </w:rPr>
        <w:t xml:space="preserve">to </w:t>
      </w:r>
      <w:proofErr w:type="gramStart"/>
      <w:r w:rsidR="00344663" w:rsidRPr="00D96D01">
        <w:rPr>
          <w:rFonts w:ascii="Open Sans" w:hAnsi="Open Sans" w:cs="Open Sans"/>
          <w:sz w:val="18"/>
          <w:szCs w:val="18"/>
        </w:rPr>
        <w:t>occur</w:t>
      </w:r>
      <w:r w:rsidR="000016F7" w:rsidRPr="00D96D01">
        <w:rPr>
          <w:rFonts w:ascii="Open Sans" w:hAnsi="Open Sans" w:cs="Open Sans"/>
          <w:sz w:val="18"/>
          <w:szCs w:val="18"/>
        </w:rPr>
        <w:t>, or</w:t>
      </w:r>
      <w:proofErr w:type="gramEnd"/>
      <w:r w:rsidR="000016F7" w:rsidRPr="00D96D01">
        <w:rPr>
          <w:rFonts w:ascii="Open Sans" w:hAnsi="Open Sans" w:cs="Open Sans"/>
          <w:sz w:val="18"/>
          <w:szCs w:val="18"/>
        </w:rPr>
        <w:t xml:space="preserve"> put differently the probability of an event occurring every year</w:t>
      </w:r>
      <w:r w:rsidR="00344663" w:rsidRPr="00D96D01">
        <w:rPr>
          <w:rFonts w:ascii="Open Sans" w:hAnsi="Open Sans" w:cs="Open Sans"/>
          <w:sz w:val="18"/>
          <w:szCs w:val="18"/>
        </w:rPr>
        <w:t xml:space="preserve">. </w:t>
      </w:r>
      <w:r w:rsidR="00CB3B07" w:rsidRPr="00D96D01">
        <w:rPr>
          <w:rFonts w:ascii="Open Sans" w:hAnsi="Open Sans" w:cs="Open Sans"/>
          <w:sz w:val="18"/>
          <w:szCs w:val="18"/>
        </w:rPr>
        <w:t xml:space="preserve">A </w:t>
      </w:r>
      <w:proofErr w:type="gramStart"/>
      <w:r w:rsidR="00CB3B07" w:rsidRPr="00D96D01">
        <w:rPr>
          <w:rFonts w:ascii="Open Sans" w:hAnsi="Open Sans" w:cs="Open Sans"/>
          <w:sz w:val="18"/>
          <w:szCs w:val="18"/>
        </w:rPr>
        <w:t>100 year</w:t>
      </w:r>
      <w:proofErr w:type="gramEnd"/>
      <w:r w:rsidR="00CB3B07" w:rsidRPr="00D96D01">
        <w:rPr>
          <w:rFonts w:ascii="Open Sans" w:hAnsi="Open Sans" w:cs="Open Sans"/>
          <w:sz w:val="18"/>
          <w:szCs w:val="18"/>
        </w:rPr>
        <w:t xml:space="preserve"> return period means that on average a </w:t>
      </w:r>
      <w:r w:rsidR="00E57A03" w:rsidRPr="00D96D01">
        <w:rPr>
          <w:rFonts w:ascii="Open Sans" w:hAnsi="Open Sans" w:cs="Open Sans"/>
          <w:sz w:val="18"/>
          <w:szCs w:val="18"/>
        </w:rPr>
        <w:t>specific event occurs once every 100 years.</w:t>
      </w:r>
      <w:r w:rsidR="00CB3B07" w:rsidRPr="00D96D01">
        <w:rPr>
          <w:rFonts w:ascii="Open Sans" w:hAnsi="Open Sans" w:cs="Open Sans"/>
          <w:sz w:val="18"/>
          <w:szCs w:val="18"/>
        </w:rPr>
        <w:t xml:space="preserve"> </w:t>
      </w:r>
      <w:r w:rsidR="00D03D74" w:rsidRPr="00D96D01">
        <w:rPr>
          <w:rFonts w:ascii="Open Sans" w:hAnsi="Open Sans" w:cs="Open Sans"/>
          <w:sz w:val="18"/>
          <w:szCs w:val="18"/>
        </w:rPr>
        <w:t xml:space="preserve">Naturally, this means that it can occur more often than once in 100 years. </w:t>
      </w:r>
      <w:r w:rsidR="00344663" w:rsidRPr="00D96D01">
        <w:rPr>
          <w:rFonts w:ascii="Open Sans" w:hAnsi="Open Sans" w:cs="Open Sans"/>
          <w:sz w:val="18"/>
          <w:szCs w:val="18"/>
        </w:rPr>
        <w:t xml:space="preserve">With an average global life expectancy of around </w:t>
      </w:r>
      <w:r w:rsidR="003772A3" w:rsidRPr="00D96D01">
        <w:rPr>
          <w:rFonts w:ascii="Open Sans" w:hAnsi="Open Sans" w:cs="Open Sans"/>
          <w:sz w:val="18"/>
          <w:szCs w:val="18"/>
        </w:rPr>
        <w:t>70</w:t>
      </w:r>
      <w:r w:rsidR="00344663" w:rsidRPr="00D96D01">
        <w:rPr>
          <w:rFonts w:ascii="Open Sans" w:hAnsi="Open Sans" w:cs="Open Sans"/>
          <w:sz w:val="18"/>
          <w:szCs w:val="18"/>
        </w:rPr>
        <w:t xml:space="preserve"> years, </w:t>
      </w:r>
      <w:r w:rsidR="00173CF1" w:rsidRPr="00D96D01">
        <w:rPr>
          <w:rFonts w:ascii="Open Sans" w:hAnsi="Open Sans" w:cs="Open Sans"/>
          <w:sz w:val="18"/>
          <w:szCs w:val="18"/>
        </w:rPr>
        <w:t xml:space="preserve">the probability </w:t>
      </w:r>
      <w:r w:rsidR="002D1F07" w:rsidRPr="00D96D01">
        <w:rPr>
          <w:rFonts w:ascii="Open Sans" w:hAnsi="Open Sans" w:cs="Open Sans"/>
          <w:sz w:val="18"/>
          <w:szCs w:val="18"/>
        </w:rPr>
        <w:t xml:space="preserve">of experiencing an extreme weather event with a 100-year return period is </w:t>
      </w:r>
      <w:r w:rsidR="00E86AB3" w:rsidRPr="00D96D01">
        <w:rPr>
          <w:rFonts w:ascii="Open Sans" w:hAnsi="Open Sans" w:cs="Open Sans"/>
          <w:sz w:val="18"/>
          <w:szCs w:val="18"/>
        </w:rPr>
        <w:t>about</w:t>
      </w:r>
      <w:r w:rsidR="002D1F07" w:rsidRPr="00D96D01">
        <w:rPr>
          <w:rFonts w:ascii="Open Sans" w:hAnsi="Open Sans" w:cs="Open Sans"/>
          <w:sz w:val="18"/>
          <w:szCs w:val="18"/>
        </w:rPr>
        <w:t xml:space="preserve"> 50%.</w:t>
      </w:r>
    </w:p>
  </w:footnote>
  <w:footnote w:id="16">
    <w:p w14:paraId="231285E4" w14:textId="710EB22C" w:rsidR="00781FBC" w:rsidRPr="00D96D01" w:rsidRDefault="00781FBC" w:rsidP="008F0F4D">
      <w:pPr>
        <w:pStyle w:val="FootnoteText"/>
        <w:jc w:val="both"/>
        <w:rPr>
          <w:rFonts w:ascii="Open Sans" w:hAnsi="Open Sans" w:cs="Open Sans"/>
          <w:sz w:val="18"/>
          <w:szCs w:val="18"/>
        </w:rPr>
      </w:pPr>
      <w:r w:rsidRPr="00D96D01">
        <w:rPr>
          <w:rStyle w:val="FootnoteReference"/>
          <w:rFonts w:ascii="Open Sans" w:hAnsi="Open Sans" w:cs="Open Sans"/>
          <w:sz w:val="18"/>
          <w:szCs w:val="18"/>
        </w:rPr>
        <w:footnoteRef/>
      </w:r>
      <w:r w:rsidRPr="00D96D01">
        <w:rPr>
          <w:rFonts w:ascii="Open Sans" w:hAnsi="Open Sans" w:cs="Open Sans"/>
          <w:sz w:val="18"/>
          <w:szCs w:val="18"/>
        </w:rPr>
        <w:t xml:space="preserve"> Note that the urban and rural distinction is relevant for drought hazards and transport as a physical propensity to experience </w:t>
      </w:r>
      <w:r w:rsidR="00134086" w:rsidRPr="00D96D01">
        <w:rPr>
          <w:rFonts w:ascii="Open Sans" w:hAnsi="Open Sans" w:cs="Open Sans"/>
          <w:sz w:val="18"/>
          <w:szCs w:val="18"/>
        </w:rPr>
        <w:t xml:space="preserve">to </w:t>
      </w:r>
      <w:r w:rsidRPr="00D96D01">
        <w:rPr>
          <w:rFonts w:ascii="Open Sans" w:hAnsi="Open Sans" w:cs="Open Sans"/>
          <w:sz w:val="18"/>
          <w:szCs w:val="18"/>
        </w:rPr>
        <w:t>sever</w:t>
      </w:r>
      <w:r w:rsidR="00134086" w:rsidRPr="00D96D01">
        <w:rPr>
          <w:rFonts w:ascii="Open Sans" w:hAnsi="Open Sans" w:cs="Open Sans"/>
          <w:sz w:val="18"/>
          <w:szCs w:val="18"/>
        </w:rPr>
        <w:t>e</w:t>
      </w:r>
      <w:r w:rsidRPr="00D96D01">
        <w:rPr>
          <w:rFonts w:ascii="Open Sans" w:hAnsi="Open Sans" w:cs="Open Sans"/>
          <w:sz w:val="18"/>
          <w:szCs w:val="18"/>
        </w:rPr>
        <w:t xml:space="preserve"> loss (vulnerability). Both are only measured for rural areas.</w:t>
      </w:r>
    </w:p>
  </w:footnote>
  <w:footnote w:id="17">
    <w:p w14:paraId="1CF76BC3" w14:textId="01861DEF" w:rsidR="0046414A" w:rsidRPr="00D96D01" w:rsidRDefault="0046414A" w:rsidP="00950143">
      <w:pPr>
        <w:pStyle w:val="FootnoteText"/>
        <w:rPr>
          <w:rFonts w:ascii="Open Sans" w:hAnsi="Open Sans" w:cs="Open Sans"/>
          <w:sz w:val="18"/>
          <w:szCs w:val="18"/>
        </w:rPr>
      </w:pPr>
      <w:r w:rsidRPr="00D96D01">
        <w:rPr>
          <w:rStyle w:val="FootnoteReference"/>
          <w:rFonts w:ascii="Open Sans" w:hAnsi="Open Sans" w:cs="Open Sans"/>
          <w:sz w:val="18"/>
          <w:szCs w:val="18"/>
        </w:rPr>
        <w:footnoteRef/>
      </w:r>
      <w:r w:rsidRPr="00D96D01">
        <w:rPr>
          <w:rFonts w:ascii="Open Sans" w:hAnsi="Open Sans" w:cs="Open Sans"/>
          <w:sz w:val="18"/>
          <w:szCs w:val="18"/>
        </w:rPr>
        <w:t xml:space="preserve"> The dimensions are</w:t>
      </w:r>
      <w:r w:rsidR="00950143" w:rsidRPr="00D96D01">
        <w:rPr>
          <w:rFonts w:ascii="Open Sans" w:hAnsi="Open Sans" w:cs="Open Sans"/>
          <w:sz w:val="18"/>
          <w:szCs w:val="18"/>
        </w:rPr>
        <w:t xml:space="preserve"> income, education, social protection, financial inclusion, water, </w:t>
      </w:r>
      <w:proofErr w:type="gramStart"/>
      <w:r w:rsidR="00950143" w:rsidRPr="00D96D01">
        <w:rPr>
          <w:rFonts w:ascii="Open Sans" w:hAnsi="Open Sans" w:cs="Open Sans"/>
          <w:sz w:val="18"/>
          <w:szCs w:val="18"/>
        </w:rPr>
        <w:t>energy</w:t>
      </w:r>
      <w:proofErr w:type="gramEnd"/>
      <w:r w:rsidR="00950143" w:rsidRPr="00D96D01">
        <w:rPr>
          <w:rFonts w:ascii="Open Sans" w:hAnsi="Open Sans" w:cs="Open Sans"/>
          <w:sz w:val="18"/>
          <w:szCs w:val="18"/>
        </w:rPr>
        <w:t xml:space="preserve"> and transport.</w:t>
      </w:r>
    </w:p>
  </w:footnote>
  <w:footnote w:id="18">
    <w:p w14:paraId="18A753F2" w14:textId="18B664ED" w:rsidR="00781FBC" w:rsidRPr="007A12CE" w:rsidRDefault="00781FBC" w:rsidP="008F0F4D">
      <w:pPr>
        <w:spacing w:after="0"/>
        <w:jc w:val="both"/>
        <w:rPr>
          <w:rFonts w:ascii="Open Sans" w:hAnsi="Open Sans" w:cs="Open Sans"/>
          <w:sz w:val="18"/>
          <w:szCs w:val="18"/>
        </w:rPr>
      </w:pPr>
      <w:r w:rsidRPr="00D96D01">
        <w:rPr>
          <w:rStyle w:val="FootnoteReference"/>
          <w:rFonts w:ascii="Open Sans" w:hAnsi="Open Sans" w:cs="Open Sans"/>
          <w:sz w:val="18"/>
          <w:szCs w:val="18"/>
        </w:rPr>
        <w:footnoteRef/>
      </w:r>
      <w:r w:rsidRPr="00D96D01">
        <w:rPr>
          <w:rFonts w:ascii="Open Sans" w:hAnsi="Open Sans" w:cs="Open Sans"/>
          <w:sz w:val="18"/>
          <w:szCs w:val="18"/>
        </w:rPr>
        <w:t xml:space="preserve"> Natural disasters disproportionally affect women, in terms of income, employment and life expectancy </w:t>
      </w:r>
      <w:r w:rsidRPr="00D96D01">
        <w:rPr>
          <w:rFonts w:ascii="Open Sans" w:hAnsi="Open Sans" w:cs="Open Sans"/>
          <w:sz w:val="18"/>
          <w:szCs w:val="18"/>
        </w:rPr>
        <w:fldChar w:fldCharType="begin"/>
      </w:r>
      <w:r w:rsidR="000456FF" w:rsidRPr="00D96D01">
        <w:rPr>
          <w:rFonts w:ascii="Open Sans" w:hAnsi="Open Sans" w:cs="Open Sans"/>
          <w:sz w:val="18"/>
          <w:szCs w:val="18"/>
        </w:rPr>
        <w:instrText xml:space="preserve"> ADDIN ZOTERO_ITEM CSL_CITATION {"citationID":"gsKemGfh","properties":{"formattedCitation":"(Erman et al., 2021)","plainCitation":"(Erman et al., 2021)","noteIndex":17},"citationItems":[{"id":286,"uris":["http://zotero.org/groups/5125234/items/6KB2IB39"],"itemData":{"id":286,"type":"report","abstract":"Men and women, boys and girls have different experiences of disasters. Gender dynamics impact both the way they are affected by disasters and their capacity to withstand and recover from them. Gender inequalities can result in gender-differentiated disaster impact, and differentiated impacts can influence gender dynamics, which in turn affect future resilience to shocks. Disaster risk management policies are designed to maximize results, taking local conditions - including gender dynamics - as fixed. When women and men are affected differently by disasters, practitioners and policy makers have a responsibility to use the tools available for mitigating disaster impacts to close gender gaps in outcome. An improved understanding of the gender dynamics of disaster risk and resilience also allows for better policy and program design, which benefits all stakeholders.","genre":"Technical Report","language":"en_US","license":"Attribution-NonCommercial 3.0 United States","note":"Accepted: 2022-03-29T14:51:40Z","publisher":"World Bank","source":"jbox.gmu.edu","title":"Gender Dimensions of Disaster Risk and Resilience : Existing Evidence","title-short":"Gender Dimensions of Disaster Risk and Resilience","URL":"https://mars.gmu.edu/handle/1920/12777","author":[{"family":"Erman","given":"Alvina"},{"family":"De Vries Robbé","given":"Sophie Anne"},{"family":"Fabian Thies","given":"Stephan"},{"family":"Kabir","given":"Kayenat"},{"family":"Maruo","given":"Mirai"}],"accessed":{"date-parts":[["2023",8,11]]},"issued":{"date-parts":[["2021",2,26]]}}}],"schema":"https://github.com/citation-style-language/schema/raw/master/csl-citation.json"} </w:instrText>
      </w:r>
      <w:r w:rsidRPr="00D96D01">
        <w:rPr>
          <w:rFonts w:ascii="Open Sans" w:hAnsi="Open Sans" w:cs="Open Sans"/>
          <w:sz w:val="18"/>
          <w:szCs w:val="18"/>
        </w:rPr>
        <w:fldChar w:fldCharType="separate"/>
      </w:r>
      <w:r w:rsidR="00930395" w:rsidRPr="00D96D01">
        <w:rPr>
          <w:rFonts w:ascii="Open Sans" w:hAnsi="Open Sans" w:cs="Open Sans"/>
          <w:sz w:val="18"/>
          <w:szCs w:val="18"/>
        </w:rPr>
        <w:t>(Erman et al., 2021)</w:t>
      </w:r>
      <w:r w:rsidRPr="00D96D01">
        <w:rPr>
          <w:rFonts w:ascii="Open Sans" w:hAnsi="Open Sans" w:cs="Open Sans"/>
          <w:sz w:val="18"/>
          <w:szCs w:val="18"/>
        </w:rPr>
        <w:fldChar w:fldCharType="end"/>
      </w:r>
      <w:r w:rsidRPr="00D96D01">
        <w:rPr>
          <w:rFonts w:ascii="Open Sans" w:hAnsi="Open Sans" w:cs="Open Sans"/>
          <w:sz w:val="18"/>
          <w:szCs w:val="18"/>
        </w:rPr>
        <w:t xml:space="preserve">. Power dynamics and traditional gender-roles influence how women are affected by natural disasters, </w:t>
      </w:r>
      <w:r w:rsidRPr="007A12CE">
        <w:rPr>
          <w:rFonts w:ascii="Open Sans" w:hAnsi="Open Sans" w:cs="Open Sans"/>
          <w:sz w:val="18"/>
          <w:szCs w:val="18"/>
        </w:rPr>
        <w:t xml:space="preserve">and are able to cope in the aftermath </w:t>
      </w:r>
      <w:r w:rsidRPr="007A12CE">
        <w:rPr>
          <w:rFonts w:ascii="Open Sans" w:hAnsi="Open Sans" w:cs="Open Sans"/>
          <w:sz w:val="18"/>
          <w:szCs w:val="18"/>
        </w:rPr>
        <w:fldChar w:fldCharType="begin"/>
      </w:r>
      <w:r w:rsidR="000456FF" w:rsidRPr="007A12CE">
        <w:rPr>
          <w:rFonts w:ascii="Open Sans" w:hAnsi="Open Sans" w:cs="Open Sans"/>
          <w:sz w:val="18"/>
          <w:szCs w:val="18"/>
        </w:rPr>
        <w:instrText xml:space="preserve"> ADDIN ZOTERO_ITEM CSL_CITATION {"citationID":"bYtM2FaV","properties":{"formattedCitation":"(Lankes et al., 2024)","plainCitation":"(Lankes et al., 2024)","noteIndex":17},"citationItems":[{"id":980,"uris":["http://zotero.org/groups/5125234/items/LMD7E5E7"],"itemData":{"id":980,"type":"article-journal","abstract":"There is growing awareness that actions by policymakers and international organizations to reduce poverty, and those to mitigate and adapt to climate change, are inextricably linked and interwoven. This paper examines relevant academic and policy literature and evidence on this relationship and explores the potential for a new form of development that simultaneously mitigates climate change, manages its impacts, and improves the wellbeing of people in poverty. First, as a key foundation, it outlines the backdrop in basic moral philosophy, noting that climate action and poverty reduction can be motivated both by a core principle based on the right to development and by the conventional consequentialism that is standard in economics. Second, it reviews assessments of the current and potential future impacts of weakly managed climate change on the wellbeing of those in poverty, paying attention to unequal effects, including by gender. Third, it examines arguments and literature on the economic impacts of climate action and policies and how those affect the wellbeing of people in poverty, highlighting the importance of market failures, technological change, systemic dynamics of transition, and distributional effects of mitigation and adaptation. Finally, the paper surveys the current state of knowledge and understanding of how climate action and poverty reduction can be integrated in policy design, indicating where further research can contribute to a transition that succeeds in both objectives.","container-title":"The World Bank Research Observer","DOI":"10.1093/wbro/lkad011","ISSN":"0257-3032","issue":"1","journalAbbreviation":"The World Bank Research Observer","page":"1-46","source":"Silverchair","title":"The Relationship between Climate Action and Poverty Reduction","volume":"39","author":[{"family":"Lankes","given":"Hans Peter"},{"family":"Macquarie","given":"Rob"},{"family":"Soubeyran","given":"Éléonore"},{"family":"Stern","given":"Nicholas"}],"issued":{"date-parts":[["2024",2,1]]}}}],"schema":"https://github.com/citation-style-language/schema/raw/master/csl-citation.json"} </w:instrText>
      </w:r>
      <w:r w:rsidRPr="007A12CE">
        <w:rPr>
          <w:rFonts w:ascii="Open Sans" w:hAnsi="Open Sans" w:cs="Open Sans"/>
          <w:sz w:val="18"/>
          <w:szCs w:val="18"/>
        </w:rPr>
        <w:fldChar w:fldCharType="separate"/>
      </w:r>
      <w:r w:rsidR="00930395" w:rsidRPr="007A12CE">
        <w:rPr>
          <w:rFonts w:ascii="Open Sans" w:hAnsi="Open Sans" w:cs="Open Sans"/>
          <w:sz w:val="18"/>
          <w:szCs w:val="18"/>
        </w:rPr>
        <w:t>(Lankes et al., 2024)</w:t>
      </w:r>
      <w:r w:rsidRPr="007A12CE">
        <w:rPr>
          <w:rFonts w:ascii="Open Sans" w:hAnsi="Open Sans" w:cs="Open Sans"/>
          <w:sz w:val="18"/>
          <w:szCs w:val="18"/>
        </w:rPr>
        <w:fldChar w:fldCharType="end"/>
      </w:r>
      <w:r w:rsidRPr="007A12CE">
        <w:rPr>
          <w:rFonts w:ascii="Open Sans" w:hAnsi="Open Sans" w:cs="Open Sans"/>
          <w:sz w:val="18"/>
          <w:szCs w:val="18"/>
        </w:rPr>
        <w:t xml:space="preserve">. </w:t>
      </w:r>
      <w:r w:rsidRPr="007A12CE">
        <w:rPr>
          <w:rFonts w:ascii="Open Sans" w:hAnsi="Open Sans" w:cs="Open Sans"/>
          <w:kern w:val="0"/>
          <w:sz w:val="18"/>
          <w:szCs w:val="18"/>
          <w14:ligatures w14:val="none"/>
        </w:rPr>
        <w:t xml:space="preserve">Extreme weather events have been shown to increase domestic violence against women </w:t>
      </w:r>
      <w:r w:rsidRPr="007A12CE">
        <w:rPr>
          <w:rFonts w:ascii="Open Sans" w:hAnsi="Open Sans" w:cs="Open Sans"/>
          <w:kern w:val="0"/>
          <w:sz w:val="18"/>
          <w:szCs w:val="18"/>
          <w14:ligatures w14:val="none"/>
        </w:rPr>
        <w:fldChar w:fldCharType="begin"/>
      </w:r>
      <w:r w:rsidR="000456FF" w:rsidRPr="007A12CE">
        <w:rPr>
          <w:rFonts w:ascii="Open Sans" w:hAnsi="Open Sans" w:cs="Open Sans"/>
          <w:kern w:val="0"/>
          <w:sz w:val="18"/>
          <w:szCs w:val="18"/>
          <w14:ligatures w14:val="none"/>
        </w:rPr>
        <w:instrText xml:space="preserve"> ADDIN ZOTERO_ITEM CSL_CITATION {"citationID":"KQelZr89","properties":{"formattedCitation":"(Abiona and Koppensteiner, 2018; Sekhri and Storeygard, 2014)","plainCitation":"(Abiona and Koppensteiner, 2018; Sekhri and Storeygard, 2014)","noteIndex":17},"citationItems":[{"id":1024,"uris":["http://zotero.org/groups/5125234/items/4HB8CU7V"],"itemData":{"id":1024,"type":"article-journal","abstract":"We examine the effect of rainfall shocks on dowry deaths using data from 583 Indian districts for 2002–2007. We find that a one standard deviation decline in annual rainfall from the local mean increases reported dowry deaths by 7.8%. Wet shocks have no apparent effect. We examine patterns of other crimes to investigate whether an increase in general unrest during economic downturns explains the results but do not find supportive evidence. Women's political representation in the national parliament has no apparent mitigating effect on dowry deaths.","collection-title":"Special Issue: Imbalances in Economic Development","container-title":"Journal of Development Economics","DOI":"10.1016/j.jdeveco.2014.09.001","ISSN":"0304-3878","journalAbbreviation":"Journal of Development Economics","page":"212-223","source":"ScienceDirect","title":"Dowry deaths: Response to weather variability in India","title-short":"Dowry deaths","volume":"111","author":[{"family":"Sekhri","given":"Sheetal"},{"family":"Storeygard","given":"Adam"}],"issued":{"date-parts":[["2014",11,1]]}}},{"id":1022,"uris":["http://zotero.org/groups/5125234/items/RI5KIMZM"],"itemData":{"id":1022,"type":"article","abstract":"In this paper, we study the effect of household shocks on the incidence of domestic violence using household survey microdata from Tanzania. We use idiosyncratic variation in rainfall to proxy for shocks on household income of rural households. We find that droughts lead to a considerable increase of domestic violence in the households. A one standard deviation negative rainfall shock from the long-term mean increases the incidence by about 13.1 per cent compared to the baseline. We make use of the rich information from the household survey to investigate the underlying pathways.","collection-number":"No. 11992","collection-title":"IZA Discussion Paper","DOI":"10.2139/ssrn.3301756","event-place":"Rochester, NY","genre":"SSRN Scholarly Paper","language":"en","number":"3301756","publisher-place":"Rochester, NY","source":"Social Science Research Network","title":"The Impact of Household Shocks on Domestic Violence: Evidence from Tanzania","title-short":"The Impact of Household Shocks on Domestic Violence","URL":"https://papers.ssrn.com/abstract=3301756","author":[{"family":"Abiona","given":"Olukorede"},{"family":"Koppensteiner","given":"Martin Foureaux"}],"accessed":{"date-parts":[["2024",1,29]]},"issued":{"date-parts":[["2018",12,17]]}}}],"schema":"https://github.com/citation-style-language/schema/raw/master/csl-citation.json"} </w:instrText>
      </w:r>
      <w:r w:rsidRPr="007A12CE">
        <w:rPr>
          <w:rFonts w:ascii="Open Sans" w:hAnsi="Open Sans" w:cs="Open Sans"/>
          <w:kern w:val="0"/>
          <w:sz w:val="18"/>
          <w:szCs w:val="18"/>
          <w14:ligatures w14:val="none"/>
        </w:rPr>
        <w:fldChar w:fldCharType="separate"/>
      </w:r>
      <w:r w:rsidR="00930395" w:rsidRPr="007A12CE">
        <w:rPr>
          <w:rFonts w:ascii="Open Sans" w:hAnsi="Open Sans" w:cs="Open Sans"/>
          <w:sz w:val="18"/>
          <w:szCs w:val="18"/>
        </w:rPr>
        <w:t>(Abiona and Koppensteiner, 2018; Sekhri and Storeygard, 2014)</w:t>
      </w:r>
      <w:r w:rsidRPr="007A12CE">
        <w:rPr>
          <w:rFonts w:ascii="Open Sans" w:hAnsi="Open Sans" w:cs="Open Sans"/>
          <w:kern w:val="0"/>
          <w:sz w:val="18"/>
          <w:szCs w:val="18"/>
          <w14:ligatures w14:val="none"/>
        </w:rPr>
        <w:fldChar w:fldCharType="end"/>
      </w:r>
      <w:r w:rsidRPr="007A12CE">
        <w:rPr>
          <w:rFonts w:ascii="Open Sans" w:hAnsi="Open Sans" w:cs="Open Sans"/>
          <w:kern w:val="0"/>
          <w:sz w:val="18"/>
          <w:szCs w:val="18"/>
          <w14:ligatures w14:val="none"/>
        </w:rPr>
        <w:t xml:space="preserve">. Access to and control of assets are important determinants in the vulnerability to climate change, </w:t>
      </w:r>
      <w:r w:rsidR="00005EA6" w:rsidRPr="007A12CE">
        <w:rPr>
          <w:rFonts w:ascii="Open Sans" w:hAnsi="Open Sans" w:cs="Open Sans"/>
          <w:kern w:val="0"/>
          <w:sz w:val="18"/>
          <w:szCs w:val="18"/>
          <w14:ligatures w14:val="none"/>
        </w:rPr>
        <w:t xml:space="preserve">according to </w:t>
      </w:r>
      <w:r w:rsidRPr="007A12CE">
        <w:rPr>
          <w:rFonts w:ascii="Open Sans" w:hAnsi="Open Sans" w:cs="Open Sans"/>
          <w:kern w:val="0"/>
          <w:sz w:val="18"/>
          <w:szCs w:val="18"/>
          <w14:ligatures w14:val="none"/>
        </w:rPr>
        <w:t xml:space="preserve">which women are highly disadvantaged within households. Women still shoulder the majority of domestic work, which becomes even more pronounced after disasters, hindering their ability to pursue or resume employment </w:t>
      </w:r>
      <w:r w:rsidRPr="007A12CE">
        <w:rPr>
          <w:rFonts w:ascii="Open Sans" w:hAnsi="Open Sans" w:cs="Open Sans"/>
          <w:kern w:val="0"/>
          <w:sz w:val="18"/>
          <w:szCs w:val="18"/>
          <w14:ligatures w14:val="none"/>
        </w:rPr>
        <w:fldChar w:fldCharType="begin"/>
      </w:r>
      <w:r w:rsidR="000456FF" w:rsidRPr="007A12CE">
        <w:rPr>
          <w:rFonts w:ascii="Open Sans" w:hAnsi="Open Sans" w:cs="Open Sans"/>
          <w:kern w:val="0"/>
          <w:sz w:val="18"/>
          <w:szCs w:val="18"/>
          <w14:ligatures w14:val="none"/>
        </w:rPr>
        <w:instrText xml:space="preserve"> ADDIN ZOTERO_ITEM CSL_CITATION {"citationID":"DQVei8DA","properties":{"formattedCitation":"(Eastin, 2018; Erman et al., 2021)","plainCitation":"(Eastin, 2018; Erman et al., 2021)","noteIndex":17},"citationItems":[{"id":285,"uris":["http://zotero.org/groups/5125234/items/9CI68ANI"],"itemData":{"id":285,"type":"article-journal","abstract":"It is commonly accepted that women can be more vulnerable than men to the adverse environmental effects of climate change. This paper evaluates whether the unequal distribution of costs women bear as a result of climate change are reflected across broader macro-social institutions to the detriment of gender equality and women's rights. It argues that gender disparities in climate change vulnerability not only reflect preexisting gender inequalities, they also reinforce them. Inequalities in the ownership and control of household assets and rising familial burdens due to male out-migration, declining food and water access, and increased disaster exposure can undermine women's ability to achieve economic independence, enhance human capital, and maintain health and wellbeing. Consequences for gender equality include reductions in intra-household bargaining power, as women become less capable of generating independent revenue. Outside the home, norms of gender discrimination and gender imbalances in socio-economic status should increase as women are less able to participate in formal labor markets, join civil society organizations, or collectively mobilize for political change. The outcome of these processes can reduce a society's level of gender equality by increasing constraints on the advancement of laws and norms that promote co-equal status. I empirically test this relationship across a sample of developing states between 1981 and 2010. The findings suggest that climate shocks and climatic disasters exert a broadly negative impact on gender equality, as deviations from long-term mean temperatures and increasing incidence of climatological and hydro-meteorological disasters are associated with declines in women's economic and social rights. These effects appear to be most salient in states that are relatively less-democratic, with greater dependence on agriculture, and lower levels of economic development.","container-title":"World Development","DOI":"10.1016/j.worlddev.2018.02.021","ISSN":"0305-750X","journalAbbreviation":"World Development","language":"en","page":"289-305","source":"ScienceDirect","title":"Climate change and gender equality in developing states","volume":"107","author":[{"family":"Eastin","given":"Joshua"}],"issued":{"date-parts":[["2018",7,1]]}}},{"id":286,"uris":["http://zotero.org/groups/5125234/items/6KB2IB39"],"itemData":{"id":286,"type":"report","abstract":"Men and women, boys and girls have different experiences of disasters. Gender dynamics impact both the way they are affected by disasters and their capacity to withstand and recover from them. Gender inequalities can result in gender-differentiated disaster impact, and differentiated impacts can influence gender dynamics, which in turn affect future resilience to shocks. Disaster risk management policies are designed to maximize results, taking local conditions - including gender dynamics - as fixed. When women and men are affected differently by disasters, practitioners and policy makers have a responsibility to use the tools available for mitigating disaster impacts to close gender gaps in outcome. An improved understanding of the gender dynamics of disaster risk and resilience also allows for better policy and program design, which benefits all stakeholders.","genre":"Technical Report","language":"en_US","license":"Attribution-NonCommercial 3.0 United States","note":"Accepted: 2022-03-29T14:51:40Z","publisher":"World Bank","source":"jbox.gmu.edu","title":"Gender Dimensions of Disaster Risk and Resilience : Existing Evidence","title-short":"Gender Dimensions of Disaster Risk and Resilience","URL":"https://mars.gmu.edu/handle/1920/12777","author":[{"family":"Erman","given":"Alvina"},{"family":"De Vries Robbé","given":"Sophie Anne"},{"family":"Fabian Thies","given":"Stephan"},{"family":"Kabir","given":"Kayenat"},{"family":"Maruo","given":"Mirai"}],"accessed":{"date-parts":[["2023",8,11]]},"issued":{"date-parts":[["2021",2,26]]}}}],"schema":"https://github.com/citation-style-language/schema/raw/master/csl-citation.json"} </w:instrText>
      </w:r>
      <w:r w:rsidRPr="007A12CE">
        <w:rPr>
          <w:rFonts w:ascii="Open Sans" w:hAnsi="Open Sans" w:cs="Open Sans"/>
          <w:kern w:val="0"/>
          <w:sz w:val="18"/>
          <w:szCs w:val="18"/>
          <w14:ligatures w14:val="none"/>
        </w:rPr>
        <w:fldChar w:fldCharType="separate"/>
      </w:r>
      <w:r w:rsidR="00930395" w:rsidRPr="007A12CE">
        <w:rPr>
          <w:rFonts w:ascii="Open Sans" w:hAnsi="Open Sans" w:cs="Open Sans"/>
          <w:sz w:val="18"/>
          <w:szCs w:val="18"/>
        </w:rPr>
        <w:t>(Eastin, 2018; Erman et al., 2021)</w:t>
      </w:r>
      <w:r w:rsidRPr="007A12CE">
        <w:rPr>
          <w:rFonts w:ascii="Open Sans" w:hAnsi="Open Sans" w:cs="Open Sans"/>
          <w:kern w:val="0"/>
          <w:sz w:val="18"/>
          <w:szCs w:val="18"/>
          <w14:ligatures w14:val="none"/>
        </w:rPr>
        <w:fldChar w:fldCharType="end"/>
      </w:r>
      <w:r w:rsidRPr="007A12CE">
        <w:rPr>
          <w:rFonts w:ascii="Open Sans" w:hAnsi="Open Sans" w:cs="Open Sans"/>
          <w:kern w:val="0"/>
          <w:sz w:val="18"/>
          <w:szCs w:val="18"/>
          <w14:ligatures w14:val="none"/>
        </w:rPr>
        <w:t xml:space="preserve">. Not being able to engage in income-generating activities further reduces long-run opportunities and exacerbates vulnerabilities. Eastin </w:t>
      </w:r>
      <w:r w:rsidRPr="007A12CE">
        <w:rPr>
          <w:rFonts w:ascii="Open Sans" w:hAnsi="Open Sans" w:cs="Open Sans"/>
          <w:kern w:val="0"/>
          <w:sz w:val="18"/>
          <w:szCs w:val="18"/>
          <w14:ligatures w14:val="none"/>
        </w:rPr>
        <w:fldChar w:fldCharType="begin"/>
      </w:r>
      <w:r w:rsidR="000456FF" w:rsidRPr="007A12CE">
        <w:rPr>
          <w:rFonts w:ascii="Open Sans" w:hAnsi="Open Sans" w:cs="Open Sans"/>
          <w:kern w:val="0"/>
          <w:sz w:val="18"/>
          <w:szCs w:val="18"/>
          <w14:ligatures w14:val="none"/>
        </w:rPr>
        <w:instrText xml:space="preserve"> ADDIN ZOTERO_ITEM CSL_CITATION {"citationID":"uqUwJ1Tt","properties":{"formattedCitation":"(2018)","plainCitation":"(2018)","noteIndex":17},"citationItems":[{"id":285,"uris":["http://zotero.org/groups/5125234/items/9CI68ANI"],"itemData":{"id":285,"type":"article-journal","abstract":"It is commonly accepted that women can be more vulnerable than men to the adverse environmental effects of climate change. This paper evaluates whether the unequal distribution of costs women bear as a result of climate change are reflected across broader macro-social institutions to the detriment of gender equality and women's rights. It argues that gender disparities in climate change vulnerability not only reflect preexisting gender inequalities, they also reinforce them. Inequalities in the ownership and control of household assets and rising familial burdens due to male out-migration, declining food and water access, and increased disaster exposure can undermine women's ability to achieve economic independence, enhance human capital, and maintain health and wellbeing. Consequences for gender equality include reductions in intra-household bargaining power, as women become less capable of generating independent revenue. Outside the home, norms of gender discrimination and gender imbalances in socio-economic status should increase as women are less able to participate in formal labor markets, join civil society organizations, or collectively mobilize for political change. The outcome of these processes can reduce a society's level of gender equality by increasing constraints on the advancement of laws and norms that promote co-equal status. I empirically test this relationship across a sample of developing states between 1981 and 2010. The findings suggest that climate shocks and climatic disasters exert a broadly negative impact on gender equality, as deviations from long-term mean temperatures and increasing incidence of climatological and hydro-meteorological disasters are associated with declines in women's economic and social rights. These effects appear to be most salient in states that are relatively less-democratic, with greater dependence on agriculture, and lower levels of economic development.","container-title":"World Development","DOI":"10.1016/j.worlddev.2018.02.021","ISSN":"0305-750X","journalAbbreviation":"World Development","language":"en","page":"289-305","source":"ScienceDirect","title":"Climate change and gender equality in developing states","volume":"107","author":[{"family":"Eastin","given":"Joshua"}],"issued":{"date-parts":[["2018",7,1]]}},"suppress-author":true}],"schema":"https://github.com/citation-style-language/schema/raw/master/csl-citation.json"} </w:instrText>
      </w:r>
      <w:r w:rsidRPr="007A12CE">
        <w:rPr>
          <w:rFonts w:ascii="Open Sans" w:hAnsi="Open Sans" w:cs="Open Sans"/>
          <w:kern w:val="0"/>
          <w:sz w:val="18"/>
          <w:szCs w:val="18"/>
          <w14:ligatures w14:val="none"/>
        </w:rPr>
        <w:fldChar w:fldCharType="separate"/>
      </w:r>
      <w:r w:rsidRPr="007A12CE">
        <w:rPr>
          <w:rFonts w:ascii="Open Sans" w:hAnsi="Open Sans" w:cs="Open Sans"/>
          <w:kern w:val="0"/>
          <w:sz w:val="18"/>
          <w:szCs w:val="18"/>
          <w14:ligatures w14:val="none"/>
        </w:rPr>
        <w:t>(2018)</w:t>
      </w:r>
      <w:r w:rsidRPr="007A12CE">
        <w:rPr>
          <w:rFonts w:ascii="Open Sans" w:hAnsi="Open Sans" w:cs="Open Sans"/>
          <w:kern w:val="0"/>
          <w:sz w:val="18"/>
          <w:szCs w:val="18"/>
          <w14:ligatures w14:val="none"/>
        </w:rPr>
        <w:fldChar w:fldCharType="end"/>
      </w:r>
      <w:r w:rsidRPr="007A12CE">
        <w:rPr>
          <w:rFonts w:ascii="Open Sans" w:hAnsi="Open Sans" w:cs="Open Sans"/>
          <w:kern w:val="0"/>
          <w:sz w:val="18"/>
          <w:szCs w:val="18"/>
          <w14:ligatures w14:val="none"/>
        </w:rPr>
        <w:t xml:space="preserve"> shows that climate shocks and natural disasters are associated with declines in women's economic and social rights, and that this decline is more pronounced in poorer and more agricultural societies.</w:t>
      </w:r>
      <w:r w:rsidR="009B1CEC" w:rsidRPr="007A12CE">
        <w:rPr>
          <w:rFonts w:ascii="Open Sans" w:hAnsi="Open Sans" w:cs="Open Sans"/>
          <w:kern w:val="0"/>
          <w:sz w:val="18"/>
          <w:szCs w:val="18"/>
          <w14:ligatures w14:val="none"/>
        </w:rPr>
        <w:t>,</w:t>
      </w:r>
    </w:p>
  </w:footnote>
  <w:footnote w:id="19">
    <w:p w14:paraId="34373ED1" w14:textId="1B7E28D9" w:rsidR="002C4B0C" w:rsidRPr="007A12CE" w:rsidRDefault="002C4B0C">
      <w:pPr>
        <w:pStyle w:val="FootnoteText"/>
        <w:rPr>
          <w:rFonts w:ascii="Open Sans" w:hAnsi="Open Sans" w:cs="Open Sans"/>
          <w:sz w:val="18"/>
          <w:szCs w:val="18"/>
        </w:rPr>
      </w:pPr>
      <w:r w:rsidRPr="007A12CE">
        <w:rPr>
          <w:rStyle w:val="FootnoteReference"/>
          <w:rFonts w:ascii="Open Sans" w:hAnsi="Open Sans" w:cs="Open Sans"/>
          <w:sz w:val="18"/>
          <w:szCs w:val="18"/>
        </w:rPr>
        <w:footnoteRef/>
      </w:r>
      <w:r w:rsidRPr="007A12CE">
        <w:rPr>
          <w:rFonts w:ascii="Open Sans" w:hAnsi="Open Sans" w:cs="Open Sans"/>
          <w:sz w:val="18"/>
          <w:szCs w:val="18"/>
        </w:rPr>
        <w:t xml:space="preserve"> </w:t>
      </w:r>
      <w:r w:rsidR="00322086" w:rsidRPr="007A12CE">
        <w:rPr>
          <w:rFonts w:ascii="Open Sans" w:hAnsi="Open Sans" w:cs="Open Sans"/>
          <w:sz w:val="18"/>
          <w:szCs w:val="18"/>
        </w:rPr>
        <w:t xml:space="preserve">Other </w:t>
      </w:r>
      <w:r w:rsidR="0087436B" w:rsidRPr="007A12CE">
        <w:rPr>
          <w:rFonts w:ascii="Open Sans" w:hAnsi="Open Sans" w:cs="Open Sans"/>
          <w:sz w:val="18"/>
          <w:szCs w:val="18"/>
        </w:rPr>
        <w:t>data sources</w:t>
      </w:r>
      <w:r w:rsidR="00322086" w:rsidRPr="007A12CE">
        <w:rPr>
          <w:rFonts w:ascii="Open Sans" w:hAnsi="Open Sans" w:cs="Open Sans"/>
          <w:sz w:val="18"/>
          <w:szCs w:val="18"/>
        </w:rPr>
        <w:t xml:space="preserve"> include </w:t>
      </w:r>
      <w:r w:rsidR="009D460D" w:rsidRPr="007A12CE">
        <w:rPr>
          <w:rFonts w:ascii="Open Sans" w:hAnsi="Open Sans" w:cs="Open Sans"/>
          <w:sz w:val="18"/>
          <w:szCs w:val="18"/>
        </w:rPr>
        <w:t>the World Bank ASPIRE</w:t>
      </w:r>
      <w:r w:rsidR="00FD7073" w:rsidRPr="007A12CE">
        <w:rPr>
          <w:rFonts w:ascii="Open Sans" w:hAnsi="Open Sans" w:cs="Open Sans"/>
          <w:sz w:val="18"/>
          <w:szCs w:val="18"/>
        </w:rPr>
        <w:t xml:space="preserve"> (social protection)</w:t>
      </w:r>
      <w:r w:rsidR="009D460D" w:rsidRPr="007A12CE">
        <w:rPr>
          <w:rFonts w:ascii="Open Sans" w:hAnsi="Open Sans" w:cs="Open Sans"/>
          <w:sz w:val="18"/>
          <w:szCs w:val="18"/>
        </w:rPr>
        <w:t>, World Bank FINDEX</w:t>
      </w:r>
      <w:r w:rsidR="00FD7073" w:rsidRPr="007A12CE">
        <w:rPr>
          <w:rFonts w:ascii="Open Sans" w:hAnsi="Open Sans" w:cs="Open Sans"/>
          <w:sz w:val="18"/>
          <w:szCs w:val="18"/>
        </w:rPr>
        <w:t xml:space="preserve"> (financial inclusion)</w:t>
      </w:r>
      <w:r w:rsidR="008A3D31" w:rsidRPr="007A12CE">
        <w:rPr>
          <w:rFonts w:ascii="Open Sans" w:hAnsi="Open Sans" w:cs="Open Sans"/>
          <w:sz w:val="18"/>
          <w:szCs w:val="18"/>
        </w:rPr>
        <w:t xml:space="preserve">, </w:t>
      </w:r>
      <w:r w:rsidR="009B1CEC" w:rsidRPr="007A12CE">
        <w:rPr>
          <w:rFonts w:ascii="Open Sans" w:hAnsi="Open Sans" w:cs="Open Sans"/>
          <w:sz w:val="18"/>
          <w:szCs w:val="18"/>
        </w:rPr>
        <w:t>World Bank Global Electrification Database</w:t>
      </w:r>
      <w:r w:rsidR="00FD7073" w:rsidRPr="007A12CE">
        <w:rPr>
          <w:rFonts w:ascii="Open Sans" w:hAnsi="Open Sans" w:cs="Open Sans"/>
          <w:sz w:val="18"/>
          <w:szCs w:val="18"/>
        </w:rPr>
        <w:t xml:space="preserve"> (energy),</w:t>
      </w:r>
      <w:r w:rsidR="009B1CEC" w:rsidRPr="007A12CE">
        <w:rPr>
          <w:rFonts w:ascii="Open Sans" w:hAnsi="Open Sans" w:cs="Open Sans"/>
          <w:sz w:val="18"/>
          <w:szCs w:val="18"/>
        </w:rPr>
        <w:t xml:space="preserve"> </w:t>
      </w:r>
      <w:r w:rsidR="008A3D31" w:rsidRPr="007A12CE">
        <w:rPr>
          <w:rFonts w:ascii="Open Sans" w:hAnsi="Open Sans" w:cs="Open Sans"/>
          <w:sz w:val="18"/>
          <w:szCs w:val="18"/>
        </w:rPr>
        <w:t>the WHO-UNICEF Joint Monitoring Program</w:t>
      </w:r>
      <w:r w:rsidR="00394055" w:rsidRPr="007A12CE">
        <w:rPr>
          <w:rFonts w:ascii="Open Sans" w:hAnsi="Open Sans" w:cs="Open Sans"/>
          <w:sz w:val="18"/>
          <w:szCs w:val="18"/>
        </w:rPr>
        <w:t xml:space="preserve"> </w:t>
      </w:r>
      <w:r w:rsidR="00FD7073" w:rsidRPr="007A12CE">
        <w:rPr>
          <w:rFonts w:ascii="Open Sans" w:hAnsi="Open Sans" w:cs="Open Sans"/>
          <w:sz w:val="18"/>
          <w:szCs w:val="18"/>
        </w:rPr>
        <w:t xml:space="preserve">(water) </w:t>
      </w:r>
      <w:r w:rsidR="00394055" w:rsidRPr="007A12CE">
        <w:rPr>
          <w:rFonts w:ascii="Open Sans" w:hAnsi="Open Sans" w:cs="Open Sans"/>
          <w:sz w:val="18"/>
          <w:szCs w:val="18"/>
        </w:rPr>
        <w:t>and the</w:t>
      </w:r>
      <w:r w:rsidR="00FD7073" w:rsidRPr="007A12CE">
        <w:rPr>
          <w:rFonts w:ascii="Open Sans" w:hAnsi="Open Sans" w:cs="Open Sans"/>
          <w:sz w:val="18"/>
          <w:szCs w:val="18"/>
        </w:rPr>
        <w:t xml:space="preserve"> UN Sustainable Development Center indicator (transport).</w:t>
      </w:r>
    </w:p>
  </w:footnote>
  <w:footnote w:id="20">
    <w:p w14:paraId="664C35C4" w14:textId="77777777" w:rsidR="00781FBC" w:rsidRPr="007A12CE" w:rsidRDefault="00781FBC" w:rsidP="000D6FA3">
      <w:pPr>
        <w:pStyle w:val="FootnoteText"/>
        <w:jc w:val="both"/>
        <w:rPr>
          <w:rFonts w:ascii="Open Sans" w:hAnsi="Open Sans" w:cs="Open Sans"/>
          <w:sz w:val="18"/>
          <w:szCs w:val="18"/>
        </w:rPr>
      </w:pPr>
      <w:r w:rsidRPr="007A12CE">
        <w:rPr>
          <w:rStyle w:val="FootnoteReference"/>
          <w:rFonts w:ascii="Open Sans" w:hAnsi="Open Sans" w:cs="Open Sans"/>
          <w:sz w:val="18"/>
          <w:szCs w:val="18"/>
        </w:rPr>
        <w:footnoteRef/>
      </w:r>
      <w:r w:rsidRPr="007A12CE">
        <w:rPr>
          <w:rFonts w:ascii="Open Sans" w:hAnsi="Open Sans" w:cs="Open Sans"/>
          <w:sz w:val="18"/>
          <w:szCs w:val="18"/>
        </w:rPr>
        <w:t xml:space="preserve"> For countries which have some missing data but near universal values for certain variables (such as electricity, </w:t>
      </w:r>
      <w:proofErr w:type="gramStart"/>
      <w:r w:rsidRPr="007A12CE">
        <w:rPr>
          <w:rFonts w:ascii="Open Sans" w:hAnsi="Open Sans" w:cs="Open Sans"/>
          <w:sz w:val="18"/>
          <w:szCs w:val="18"/>
        </w:rPr>
        <w:t>water</w:t>
      </w:r>
      <w:proofErr w:type="gramEnd"/>
      <w:r w:rsidRPr="007A12CE">
        <w:rPr>
          <w:rFonts w:ascii="Open Sans" w:hAnsi="Open Sans" w:cs="Open Sans"/>
          <w:sz w:val="18"/>
          <w:szCs w:val="18"/>
        </w:rPr>
        <w:t xml:space="preserve"> or social protection access), the near universal value is assumed for the whole population. </w:t>
      </w:r>
    </w:p>
  </w:footnote>
  <w:footnote w:id="21">
    <w:p w14:paraId="14B78BA7" w14:textId="77777777" w:rsidR="00781FBC" w:rsidRPr="008B672D" w:rsidRDefault="00781FBC" w:rsidP="000D6FA3">
      <w:pPr>
        <w:pStyle w:val="FootnoteText"/>
        <w:jc w:val="both"/>
        <w:rPr>
          <w:rFonts w:ascii="Open Sans" w:hAnsi="Open Sans" w:cs="Open Sans"/>
          <w:sz w:val="16"/>
          <w:szCs w:val="16"/>
        </w:rPr>
      </w:pPr>
      <w:r w:rsidRPr="007A12CE">
        <w:rPr>
          <w:rStyle w:val="FootnoteReference"/>
          <w:rFonts w:ascii="Open Sans" w:hAnsi="Open Sans" w:cs="Open Sans"/>
          <w:sz w:val="18"/>
          <w:szCs w:val="18"/>
        </w:rPr>
        <w:footnoteRef/>
      </w:r>
      <w:r w:rsidRPr="007A12CE">
        <w:rPr>
          <w:rFonts w:ascii="Open Sans" w:hAnsi="Open Sans" w:cs="Open Sans"/>
          <w:sz w:val="18"/>
          <w:szCs w:val="18"/>
        </w:rPr>
        <w:t xml:space="preserve"> The definition of variables can vary across surveys. For example, surveys in the GMD typically include a variable on ‘improved water </w:t>
      </w:r>
      <w:proofErr w:type="gramStart"/>
      <w:r w:rsidRPr="007A12CE">
        <w:rPr>
          <w:rFonts w:ascii="Open Sans" w:hAnsi="Open Sans" w:cs="Open Sans"/>
          <w:sz w:val="18"/>
          <w:szCs w:val="18"/>
        </w:rPr>
        <w:t>access’</w:t>
      </w:r>
      <w:proofErr w:type="gramEnd"/>
      <w:r w:rsidRPr="007A12CE">
        <w:rPr>
          <w:rFonts w:ascii="Open Sans" w:hAnsi="Open Sans" w:cs="Open Sans"/>
          <w:sz w:val="18"/>
          <w:szCs w:val="18"/>
        </w:rPr>
        <w:t>. The relevant variable for the SDGs and for the Scorecard indicator however is access to ‘basic drinking water, sanitation services, or hygiene’, which could make comparisons between indicators difficult. Please see “WBG SCORECARD FY24-FY30 METHODOLOGY NOTE” for further details.</w:t>
      </w:r>
    </w:p>
  </w:footnote>
  <w:footnote w:id="22">
    <w:p w14:paraId="60754B46" w14:textId="77777777" w:rsidR="00781FBC" w:rsidRPr="008B672D" w:rsidRDefault="00781FBC" w:rsidP="000D6FA3">
      <w:pPr>
        <w:pStyle w:val="FootnoteText"/>
        <w:jc w:val="both"/>
        <w:rPr>
          <w:sz w:val="16"/>
          <w:szCs w:val="16"/>
        </w:rPr>
      </w:pPr>
      <w:r w:rsidRPr="00C84B69">
        <w:rPr>
          <w:rStyle w:val="FootnoteReference"/>
        </w:rPr>
        <w:footnoteRef/>
      </w:r>
      <w:r w:rsidRPr="008B672D">
        <w:rPr>
          <w:rFonts w:ascii="Open Sans" w:hAnsi="Open Sans" w:cs="Open Sans"/>
          <w:sz w:val="16"/>
          <w:szCs w:val="16"/>
        </w:rPr>
        <w:t xml:space="preserve"> Note that to aggregate grid-level exposure to subnational regions, the population count in grid cells that are partially covered by administrative units is weighted by the fraction of the grid cell covered by the statistical region.</w:t>
      </w:r>
    </w:p>
  </w:footnote>
  <w:footnote w:id="23">
    <w:p w14:paraId="09F1BC8E" w14:textId="3F2D2FEC" w:rsidR="00206626" w:rsidRDefault="00206626">
      <w:pPr>
        <w:pStyle w:val="FootnoteText"/>
      </w:pPr>
      <w:r w:rsidRPr="00C84B69">
        <w:rPr>
          <w:rStyle w:val="FootnoteReference"/>
        </w:rPr>
        <w:footnoteRef/>
      </w:r>
      <w:r>
        <w:t xml:space="preserve"> The </w:t>
      </w:r>
      <w:r w:rsidR="00217F30">
        <w:t>Shared Socioeconomic Pathways (SSPs)</w:t>
      </w:r>
      <w:r w:rsidR="006D5FCF">
        <w:t xml:space="preserve"> are </w:t>
      </w:r>
      <w:r w:rsidR="006D5FCF" w:rsidRPr="006D5FCF">
        <w:t>a set of five scenarios developed by the climate research community</w:t>
      </w:r>
      <w:r w:rsidR="00E161DD">
        <w:t xml:space="preserve">, which depict different pathways of </w:t>
      </w:r>
      <w:r w:rsidR="006D5FCF" w:rsidRPr="006D5FCF">
        <w:t>how global society, demographics, and economics might change over the next century and how these changes could impact greenhouse gas emissions and</w:t>
      </w:r>
      <w:r w:rsidR="00E161DD">
        <w:t xml:space="preserve"> global warming</w:t>
      </w:r>
      <w:r w:rsidR="006D5FCF">
        <w:t xml:space="preserve"> </w:t>
      </w:r>
      <w:r w:rsidR="00E161DD">
        <w:fldChar w:fldCharType="begin"/>
      </w:r>
      <w:r w:rsidR="000456FF">
        <w:instrText xml:space="preserve"> ADDIN ZOTERO_ITEM CSL_CITATION {"citationID":"hsZApF51","properties":{"formattedCitation":"(Riahi et al., 2017)","plainCitation":"(Riahi et al., 2017)","noteIndex":22},"citationItems":[{"id":1804,"uris":["http://zotero.org/groups/5125234/items/JLIIKQAP"],"itemData":{"id":1804,"type":"article-journal","abstract":"This paper presents the overview of the Shared Socioeconomic Pathways (SSPs) and their energy, land use, and emissions implications. The SSPs are part of a new scenario framework, established by the climate change research community in order to facilitate the integrated analysis of future climate impacts, vulnerabilities, adaptation, and mitigation. The pathways were developed over the last years as a joint community effort and describe plausible major global developments that together would lead in the future to different challenges for mitigation and adaptation to climate change. The SSPs are based on five narratives describing alternative socio-economic developments, including sustainable development, regional rivalry, inequality, fossil-fueled development, and middle-of-the-road development. The long-term demographic and economic projections of the SSPs depict a wide uncertainty range consistent with the scenario literature. A multi-model approach was used for the elaboration of the energy, land-use and the emissions trajectories of SSP-based scenarios. The baseline scenarios lead to global energy consumption of 400–1200 EJ in 2100, and feature vastly different land-use dynamics, ranging from a possible reduction in cropland area up to a massive expansion by more than 700 million hectares by 2100. The associated annual CO2 emissions of the baseline scenarios range from about 25 GtCO2 to more than 120 GtCO2 per year by 2100. With respect to mitigation, we find that associated costs strongly depend on three factors: (1) the policy assumptions, (2) the socio-economic narrative, and (3) the stringency of the target. The carbon price for reaching the target of 2.6W/m2 that is consistent with a temperature change limit of 2°C, differs in our analysis thus by about a factor of three across the SSP marker scenarios. Moreover, many models could not reach this target from the SSPs with high mitigation challenges. While the SSPs were designed to represent different mitigation and adaptation challenges, the resulting narratives and quantifications span a wide range of different futures broadly representative of the current literature. This allows their subsequent use and development in new assessments and research projects. Critical next steps for the community scenario process will, among others, involve regional and sectoral extensions, further elaboration of the adaptation and impacts dimension, as well as employing the SSP scenarios with the new generation of earth system models as part of the 6th climate model intercomparison project (CMIP6).","container-title":"Global Environmental Change","DOI":"10.1016/j.gloenvcha.2016.05.009","ISSN":"0959-3780","journalAbbreviation":"Global Environmental Change","page":"153-168","source":"ScienceDirect","title":"The Shared Socioeconomic Pathways and their energy, land use, and greenhouse gas emissions implications: An overview","title-short":"The Shared Socioeconomic Pathways and their energy, land use, and greenhouse gas emissions implications","volume":"42","author":[{"family":"Riahi","given":"Keywan"},{"family":"Vuuren","given":"Detlef P.","non-dropping-particle":"van"},{"family":"Kriegler","given":"Elmar"},{"family":"Edmonds","given":"Jae"},{"family":"O’Neill","given":"Brian C."},{"family":"Fujimori","given":"Shinichiro"},{"family":"Bauer","given":"Nico"},{"family":"Calvin","given":"Katherine"},{"family":"Dellink","given":"Rob"},{"family":"Fricko","given":"Oliver"},{"family":"Lutz","given":"Wolfgang"},{"family":"Popp","given":"Alexander"},{"family":"Cuaresma","given":"Jesus Crespo"},{"family":"Kc","given":"Samir"},{"family":"Leimbach","given":"Marian"},{"family":"Jiang","given":"Leiwen"},{"family":"Kram","given":"Tom"},{"family":"Rao","given":"Shilpa"},{"family":"Emmerling","given":"Johannes"},{"family":"Ebi","given":"Kristie"},{"family":"Hasegawa","given":"Tomoko"},{"family":"Havlik","given":"Petr"},{"family":"Humpenöder","given":"Florian"},{"family":"Da Silva","given":"Lara Aleluia"},{"family":"Smith","given":"Steve"},{"family":"Stehfest","given":"Elke"},{"family":"Bosetti","given":"Valentina"},{"family":"Eom","given":"Jiyong"},{"family":"Gernaat","given":"David"},{"family":"Masui","given":"Toshihiko"},{"family":"Rogelj","given":"Joeri"},{"family":"Strefler","given":"Jessica"},{"family":"Drouet","given":"Laurent"},{"family":"Krey","given":"Volker"},{"family":"Luderer","given":"Gunnar"},{"family":"Harmsen","given":"Mathijs"},{"family":"Takahashi","given":"Kiyoshi"},{"family":"Baumstark","given":"Lavinia"},{"family":"Doelman","given":"Jonathan C."},{"family":"Kainuma","given":"Mikiko"},{"family":"Klimont","given":"Zbigniew"},{"family":"Marangoni","given":"Giacomo"},{"family":"Lotze-Campen","given":"Hermann"},{"family":"Obersteiner","given":"Michael"},{"family":"Tabeau","given":"Andrzej"},{"family":"Tavoni","given":"Massimo"}],"issued":{"date-parts":[["2017",1,1]]}}}],"schema":"https://github.com/citation-style-language/schema/raw/master/csl-citation.json"} </w:instrText>
      </w:r>
      <w:r w:rsidR="00E161DD">
        <w:fldChar w:fldCharType="separate"/>
      </w:r>
      <w:r w:rsidR="00E161DD" w:rsidRPr="00E161DD">
        <w:rPr>
          <w:rFonts w:ascii="Calibri" w:hAnsi="Calibri" w:cs="Calibri"/>
        </w:rPr>
        <w:t>(Riahi et al., 2017)</w:t>
      </w:r>
      <w:r w:rsidR="00E161DD">
        <w:fldChar w:fldCharType="end"/>
      </w:r>
      <w:r w:rsidR="006D5FCF" w:rsidRPr="006D5FC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051"/>
    <w:multiLevelType w:val="hybridMultilevel"/>
    <w:tmpl w:val="4D423EF4"/>
    <w:lvl w:ilvl="0" w:tplc="62E2D86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B">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046E9"/>
    <w:multiLevelType w:val="hybridMultilevel"/>
    <w:tmpl w:val="13BC8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307E"/>
    <w:multiLevelType w:val="hybridMultilevel"/>
    <w:tmpl w:val="25C69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12096"/>
    <w:multiLevelType w:val="hybridMultilevel"/>
    <w:tmpl w:val="3A46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B155D"/>
    <w:multiLevelType w:val="hybridMultilevel"/>
    <w:tmpl w:val="5CAE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56872"/>
    <w:multiLevelType w:val="hybridMultilevel"/>
    <w:tmpl w:val="6396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00E43"/>
    <w:multiLevelType w:val="hybridMultilevel"/>
    <w:tmpl w:val="B62C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E32A5"/>
    <w:multiLevelType w:val="hybridMultilevel"/>
    <w:tmpl w:val="60E46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C2590"/>
    <w:multiLevelType w:val="hybridMultilevel"/>
    <w:tmpl w:val="9D8EE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847E0"/>
    <w:multiLevelType w:val="hybridMultilevel"/>
    <w:tmpl w:val="3612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82FA7"/>
    <w:multiLevelType w:val="hybridMultilevel"/>
    <w:tmpl w:val="9C54B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9D23AB"/>
    <w:multiLevelType w:val="hybridMultilevel"/>
    <w:tmpl w:val="8BFA7222"/>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26012A"/>
    <w:multiLevelType w:val="hybridMultilevel"/>
    <w:tmpl w:val="1A8E0AA4"/>
    <w:lvl w:ilvl="0" w:tplc="49BE9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722425">
    <w:abstractNumId w:val="6"/>
  </w:num>
  <w:num w:numId="2" w16cid:durableId="702025219">
    <w:abstractNumId w:val="0"/>
  </w:num>
  <w:num w:numId="3" w16cid:durableId="17783379">
    <w:abstractNumId w:val="11"/>
  </w:num>
  <w:num w:numId="4" w16cid:durableId="2075158662">
    <w:abstractNumId w:val="8"/>
  </w:num>
  <w:num w:numId="5" w16cid:durableId="926308681">
    <w:abstractNumId w:val="1"/>
  </w:num>
  <w:num w:numId="6" w16cid:durableId="1115440726">
    <w:abstractNumId w:val="2"/>
  </w:num>
  <w:num w:numId="7" w16cid:durableId="1496337576">
    <w:abstractNumId w:val="5"/>
  </w:num>
  <w:num w:numId="8" w16cid:durableId="1614095509">
    <w:abstractNumId w:val="7"/>
  </w:num>
  <w:num w:numId="9" w16cid:durableId="736709034">
    <w:abstractNumId w:val="9"/>
  </w:num>
  <w:num w:numId="10" w16cid:durableId="1324503426">
    <w:abstractNumId w:val="3"/>
  </w:num>
  <w:num w:numId="11" w16cid:durableId="1095394803">
    <w:abstractNumId w:val="4"/>
  </w:num>
  <w:num w:numId="12" w16cid:durableId="913927153">
    <w:abstractNumId w:val="12"/>
  </w:num>
  <w:num w:numId="13" w16cid:durableId="95868187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Eugenia Genoni">
    <w15:presenceInfo w15:providerId="AD" w15:userId="S::mgenoni@worldbank.org::3b94ab93-9dbb-409c-b4f9-c9880b933021"/>
  </w15:person>
  <w15:person w15:author="Thijs Benschop">
    <w15:presenceInfo w15:providerId="AD" w15:userId="S::tbenschop@worldbank.org::1c394bdc-eb05-4d15-960b-e6a8fbdd1392"/>
  </w15:person>
  <w15:person w15:author="Christoph Lakner">
    <w15:presenceInfo w15:providerId="AD" w15:userId="S::clakner@worldbank.org::125a5fb8-97cd-4444-9c24-cf422ead6e13"/>
  </w15:person>
  <w15:person w15:author="Nishant Yonzan">
    <w15:presenceInfo w15:providerId="AD" w15:userId="S::nyonzan@worldbank.org::3bdbdd72-ed93-479d-9dd5-433cc0b4cc1c"/>
  </w15:person>
  <w15:person w15:author="Henry Stemmler">
    <w15:presenceInfo w15:providerId="AD" w15:userId="S::hstemmler@worldbank.org::eb3601d9-5eba-41e3-8048-157bdeeb8d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B1"/>
    <w:rsid w:val="000016F7"/>
    <w:rsid w:val="00003F5A"/>
    <w:rsid w:val="00005EA6"/>
    <w:rsid w:val="000077C7"/>
    <w:rsid w:val="0001002E"/>
    <w:rsid w:val="00010DFD"/>
    <w:rsid w:val="00013FB4"/>
    <w:rsid w:val="000170E1"/>
    <w:rsid w:val="00020001"/>
    <w:rsid w:val="000208B6"/>
    <w:rsid w:val="00022587"/>
    <w:rsid w:val="00023D20"/>
    <w:rsid w:val="00025B64"/>
    <w:rsid w:val="00031FBB"/>
    <w:rsid w:val="000329AE"/>
    <w:rsid w:val="00034A8A"/>
    <w:rsid w:val="00042F46"/>
    <w:rsid w:val="0004407A"/>
    <w:rsid w:val="0004491B"/>
    <w:rsid w:val="000456BD"/>
    <w:rsid w:val="000456FF"/>
    <w:rsid w:val="00047315"/>
    <w:rsid w:val="000500D4"/>
    <w:rsid w:val="000555A6"/>
    <w:rsid w:val="00056EBE"/>
    <w:rsid w:val="00062646"/>
    <w:rsid w:val="00063B8E"/>
    <w:rsid w:val="00070DF3"/>
    <w:rsid w:val="00071B07"/>
    <w:rsid w:val="000759C0"/>
    <w:rsid w:val="00075CBE"/>
    <w:rsid w:val="00076749"/>
    <w:rsid w:val="00077757"/>
    <w:rsid w:val="00080D22"/>
    <w:rsid w:val="000818CE"/>
    <w:rsid w:val="000824E4"/>
    <w:rsid w:val="0008259C"/>
    <w:rsid w:val="0008325A"/>
    <w:rsid w:val="00083635"/>
    <w:rsid w:val="0008446D"/>
    <w:rsid w:val="0008506B"/>
    <w:rsid w:val="00085A45"/>
    <w:rsid w:val="0008687C"/>
    <w:rsid w:val="000931A5"/>
    <w:rsid w:val="000963F6"/>
    <w:rsid w:val="000A1156"/>
    <w:rsid w:val="000A2034"/>
    <w:rsid w:val="000A257D"/>
    <w:rsid w:val="000A2DB6"/>
    <w:rsid w:val="000A6558"/>
    <w:rsid w:val="000A7632"/>
    <w:rsid w:val="000B0773"/>
    <w:rsid w:val="000B45B6"/>
    <w:rsid w:val="000C270A"/>
    <w:rsid w:val="000C286D"/>
    <w:rsid w:val="000C5EAE"/>
    <w:rsid w:val="000C69CE"/>
    <w:rsid w:val="000C6E63"/>
    <w:rsid w:val="000C7414"/>
    <w:rsid w:val="000D0145"/>
    <w:rsid w:val="000D0746"/>
    <w:rsid w:val="000D2545"/>
    <w:rsid w:val="000D50C9"/>
    <w:rsid w:val="000D6411"/>
    <w:rsid w:val="000D6FA3"/>
    <w:rsid w:val="000E5D23"/>
    <w:rsid w:val="000E6265"/>
    <w:rsid w:val="000E6B8C"/>
    <w:rsid w:val="000F21DF"/>
    <w:rsid w:val="000F2868"/>
    <w:rsid w:val="000F2EC6"/>
    <w:rsid w:val="000F398E"/>
    <w:rsid w:val="000F3C84"/>
    <w:rsid w:val="000F3F68"/>
    <w:rsid w:val="000F4CD8"/>
    <w:rsid w:val="000F7542"/>
    <w:rsid w:val="000F7F71"/>
    <w:rsid w:val="001014A1"/>
    <w:rsid w:val="001021BA"/>
    <w:rsid w:val="00102741"/>
    <w:rsid w:val="00103933"/>
    <w:rsid w:val="0010405C"/>
    <w:rsid w:val="001045E2"/>
    <w:rsid w:val="00105876"/>
    <w:rsid w:val="001078B6"/>
    <w:rsid w:val="00111A5F"/>
    <w:rsid w:val="00111A8E"/>
    <w:rsid w:val="00111D10"/>
    <w:rsid w:val="00112D63"/>
    <w:rsid w:val="00113794"/>
    <w:rsid w:val="00115094"/>
    <w:rsid w:val="00117068"/>
    <w:rsid w:val="0012224D"/>
    <w:rsid w:val="00123C79"/>
    <w:rsid w:val="001265EA"/>
    <w:rsid w:val="0013083E"/>
    <w:rsid w:val="0013266F"/>
    <w:rsid w:val="00132931"/>
    <w:rsid w:val="00134086"/>
    <w:rsid w:val="00134092"/>
    <w:rsid w:val="001340CA"/>
    <w:rsid w:val="0013476D"/>
    <w:rsid w:val="001351EA"/>
    <w:rsid w:val="00140B1D"/>
    <w:rsid w:val="0014110F"/>
    <w:rsid w:val="00141168"/>
    <w:rsid w:val="00145539"/>
    <w:rsid w:val="00145D76"/>
    <w:rsid w:val="001467F8"/>
    <w:rsid w:val="0015028E"/>
    <w:rsid w:val="001517ED"/>
    <w:rsid w:val="001519F1"/>
    <w:rsid w:val="00153873"/>
    <w:rsid w:val="00153A7D"/>
    <w:rsid w:val="00153E44"/>
    <w:rsid w:val="0016055C"/>
    <w:rsid w:val="00162AFF"/>
    <w:rsid w:val="00162C4D"/>
    <w:rsid w:val="001643AB"/>
    <w:rsid w:val="00167324"/>
    <w:rsid w:val="00167B20"/>
    <w:rsid w:val="001702AA"/>
    <w:rsid w:val="00170FFC"/>
    <w:rsid w:val="001729FA"/>
    <w:rsid w:val="0017322A"/>
    <w:rsid w:val="00173CF1"/>
    <w:rsid w:val="001744B1"/>
    <w:rsid w:val="00176E96"/>
    <w:rsid w:val="00180D8B"/>
    <w:rsid w:val="00181ADE"/>
    <w:rsid w:val="00182AAA"/>
    <w:rsid w:val="00184E73"/>
    <w:rsid w:val="0018655E"/>
    <w:rsid w:val="00191330"/>
    <w:rsid w:val="0019254A"/>
    <w:rsid w:val="00192EF0"/>
    <w:rsid w:val="001930D9"/>
    <w:rsid w:val="001934C0"/>
    <w:rsid w:val="00194739"/>
    <w:rsid w:val="00196F10"/>
    <w:rsid w:val="00197DD1"/>
    <w:rsid w:val="001A15EC"/>
    <w:rsid w:val="001A2A49"/>
    <w:rsid w:val="001A3833"/>
    <w:rsid w:val="001A4E89"/>
    <w:rsid w:val="001A5620"/>
    <w:rsid w:val="001B381F"/>
    <w:rsid w:val="001B44E2"/>
    <w:rsid w:val="001B5521"/>
    <w:rsid w:val="001B618B"/>
    <w:rsid w:val="001C00D9"/>
    <w:rsid w:val="001C3F57"/>
    <w:rsid w:val="001C4622"/>
    <w:rsid w:val="001C5457"/>
    <w:rsid w:val="001C6701"/>
    <w:rsid w:val="001C77AD"/>
    <w:rsid w:val="001D0232"/>
    <w:rsid w:val="001D1BA0"/>
    <w:rsid w:val="001D1CEF"/>
    <w:rsid w:val="001D26F2"/>
    <w:rsid w:val="001D421D"/>
    <w:rsid w:val="001D446C"/>
    <w:rsid w:val="001D5D7B"/>
    <w:rsid w:val="001D7BF0"/>
    <w:rsid w:val="001E0167"/>
    <w:rsid w:val="001E08E5"/>
    <w:rsid w:val="001E318B"/>
    <w:rsid w:val="001E7938"/>
    <w:rsid w:val="001F1110"/>
    <w:rsid w:val="001F13C3"/>
    <w:rsid w:val="001F15D2"/>
    <w:rsid w:val="001F2EB9"/>
    <w:rsid w:val="001F3E92"/>
    <w:rsid w:val="001F64B5"/>
    <w:rsid w:val="001F7368"/>
    <w:rsid w:val="001F7FBF"/>
    <w:rsid w:val="002039D7"/>
    <w:rsid w:val="00206626"/>
    <w:rsid w:val="0020675C"/>
    <w:rsid w:val="00207CF8"/>
    <w:rsid w:val="0021074E"/>
    <w:rsid w:val="00211553"/>
    <w:rsid w:val="0021206D"/>
    <w:rsid w:val="002123B8"/>
    <w:rsid w:val="00213099"/>
    <w:rsid w:val="0021351B"/>
    <w:rsid w:val="00214052"/>
    <w:rsid w:val="00214631"/>
    <w:rsid w:val="00215A79"/>
    <w:rsid w:val="00215EDF"/>
    <w:rsid w:val="002166FD"/>
    <w:rsid w:val="00217F30"/>
    <w:rsid w:val="002218B9"/>
    <w:rsid w:val="00226514"/>
    <w:rsid w:val="00226F64"/>
    <w:rsid w:val="0022725A"/>
    <w:rsid w:val="00227304"/>
    <w:rsid w:val="00231D0C"/>
    <w:rsid w:val="00234B3D"/>
    <w:rsid w:val="00236040"/>
    <w:rsid w:val="0023764A"/>
    <w:rsid w:val="0024051A"/>
    <w:rsid w:val="002447E9"/>
    <w:rsid w:val="002476EF"/>
    <w:rsid w:val="002513DE"/>
    <w:rsid w:val="00254123"/>
    <w:rsid w:val="00256321"/>
    <w:rsid w:val="002567A3"/>
    <w:rsid w:val="00256E81"/>
    <w:rsid w:val="00257A69"/>
    <w:rsid w:val="0026013D"/>
    <w:rsid w:val="0026200D"/>
    <w:rsid w:val="002638DD"/>
    <w:rsid w:val="0026647B"/>
    <w:rsid w:val="00266481"/>
    <w:rsid w:val="0026723C"/>
    <w:rsid w:val="0027142A"/>
    <w:rsid w:val="00273723"/>
    <w:rsid w:val="00273E46"/>
    <w:rsid w:val="002776A3"/>
    <w:rsid w:val="00280E3C"/>
    <w:rsid w:val="00281F4D"/>
    <w:rsid w:val="00282148"/>
    <w:rsid w:val="002829A7"/>
    <w:rsid w:val="00283D87"/>
    <w:rsid w:val="00284E2B"/>
    <w:rsid w:val="00285C02"/>
    <w:rsid w:val="00286523"/>
    <w:rsid w:val="00286883"/>
    <w:rsid w:val="00286F16"/>
    <w:rsid w:val="00287939"/>
    <w:rsid w:val="00291984"/>
    <w:rsid w:val="00294974"/>
    <w:rsid w:val="002A0722"/>
    <w:rsid w:val="002A22B2"/>
    <w:rsid w:val="002A5052"/>
    <w:rsid w:val="002A6E19"/>
    <w:rsid w:val="002A74D9"/>
    <w:rsid w:val="002B23D3"/>
    <w:rsid w:val="002B3160"/>
    <w:rsid w:val="002B4B3F"/>
    <w:rsid w:val="002B4FD5"/>
    <w:rsid w:val="002B5152"/>
    <w:rsid w:val="002C0ABF"/>
    <w:rsid w:val="002C0F48"/>
    <w:rsid w:val="002C1D59"/>
    <w:rsid w:val="002C33AC"/>
    <w:rsid w:val="002C4B0C"/>
    <w:rsid w:val="002D12FB"/>
    <w:rsid w:val="002D1F07"/>
    <w:rsid w:val="002D2911"/>
    <w:rsid w:val="002D44A5"/>
    <w:rsid w:val="002D4BE9"/>
    <w:rsid w:val="002D5A32"/>
    <w:rsid w:val="002D7FC8"/>
    <w:rsid w:val="002E0FEB"/>
    <w:rsid w:val="002E2A85"/>
    <w:rsid w:val="002E5098"/>
    <w:rsid w:val="002F368A"/>
    <w:rsid w:val="002F4C6D"/>
    <w:rsid w:val="002F4E86"/>
    <w:rsid w:val="002F5A76"/>
    <w:rsid w:val="002F5FB2"/>
    <w:rsid w:val="002F6FE0"/>
    <w:rsid w:val="002F767C"/>
    <w:rsid w:val="002F7D30"/>
    <w:rsid w:val="002F7D91"/>
    <w:rsid w:val="003007CD"/>
    <w:rsid w:val="00301B3F"/>
    <w:rsid w:val="0030257E"/>
    <w:rsid w:val="00303361"/>
    <w:rsid w:val="00303DB0"/>
    <w:rsid w:val="0030494B"/>
    <w:rsid w:val="00304FA9"/>
    <w:rsid w:val="003061D7"/>
    <w:rsid w:val="00312420"/>
    <w:rsid w:val="003125CD"/>
    <w:rsid w:val="003154C0"/>
    <w:rsid w:val="00315B6B"/>
    <w:rsid w:val="0031632E"/>
    <w:rsid w:val="00316424"/>
    <w:rsid w:val="00317ABD"/>
    <w:rsid w:val="00322086"/>
    <w:rsid w:val="0032252B"/>
    <w:rsid w:val="0032426B"/>
    <w:rsid w:val="0032691B"/>
    <w:rsid w:val="00326D4A"/>
    <w:rsid w:val="003270F4"/>
    <w:rsid w:val="00330D16"/>
    <w:rsid w:val="003311B9"/>
    <w:rsid w:val="0033259C"/>
    <w:rsid w:val="00333A57"/>
    <w:rsid w:val="003348CA"/>
    <w:rsid w:val="00335581"/>
    <w:rsid w:val="00336985"/>
    <w:rsid w:val="00337499"/>
    <w:rsid w:val="00340EE3"/>
    <w:rsid w:val="00342003"/>
    <w:rsid w:val="003433DF"/>
    <w:rsid w:val="00343CBF"/>
    <w:rsid w:val="00344663"/>
    <w:rsid w:val="00346838"/>
    <w:rsid w:val="00350D7A"/>
    <w:rsid w:val="00351896"/>
    <w:rsid w:val="0035396A"/>
    <w:rsid w:val="003546BE"/>
    <w:rsid w:val="00355421"/>
    <w:rsid w:val="003554B0"/>
    <w:rsid w:val="00355E7C"/>
    <w:rsid w:val="00356091"/>
    <w:rsid w:val="00360B1C"/>
    <w:rsid w:val="00360D44"/>
    <w:rsid w:val="003616E4"/>
    <w:rsid w:val="0036225C"/>
    <w:rsid w:val="003622C0"/>
    <w:rsid w:val="00365A93"/>
    <w:rsid w:val="00370778"/>
    <w:rsid w:val="00370B7A"/>
    <w:rsid w:val="00373F68"/>
    <w:rsid w:val="003747EC"/>
    <w:rsid w:val="00374B76"/>
    <w:rsid w:val="00374D09"/>
    <w:rsid w:val="003772A3"/>
    <w:rsid w:val="003776D9"/>
    <w:rsid w:val="00382495"/>
    <w:rsid w:val="0038498B"/>
    <w:rsid w:val="00385006"/>
    <w:rsid w:val="00386DB0"/>
    <w:rsid w:val="00387F89"/>
    <w:rsid w:val="003902D2"/>
    <w:rsid w:val="00394055"/>
    <w:rsid w:val="0039682A"/>
    <w:rsid w:val="00397DC9"/>
    <w:rsid w:val="003A1A74"/>
    <w:rsid w:val="003A3572"/>
    <w:rsid w:val="003A4C96"/>
    <w:rsid w:val="003A67D9"/>
    <w:rsid w:val="003A6840"/>
    <w:rsid w:val="003A7369"/>
    <w:rsid w:val="003A77E4"/>
    <w:rsid w:val="003B39A8"/>
    <w:rsid w:val="003B63C7"/>
    <w:rsid w:val="003B6683"/>
    <w:rsid w:val="003B7BB7"/>
    <w:rsid w:val="003C1DC4"/>
    <w:rsid w:val="003C22DC"/>
    <w:rsid w:val="003C56AC"/>
    <w:rsid w:val="003C56C8"/>
    <w:rsid w:val="003C618B"/>
    <w:rsid w:val="003D040E"/>
    <w:rsid w:val="003D05B5"/>
    <w:rsid w:val="003D0FB6"/>
    <w:rsid w:val="003D148F"/>
    <w:rsid w:val="003D232D"/>
    <w:rsid w:val="003D3C5D"/>
    <w:rsid w:val="003D6CD5"/>
    <w:rsid w:val="003D6FFF"/>
    <w:rsid w:val="003E633C"/>
    <w:rsid w:val="003E6FB0"/>
    <w:rsid w:val="003F0A77"/>
    <w:rsid w:val="003F1B03"/>
    <w:rsid w:val="003F3A74"/>
    <w:rsid w:val="003F45B8"/>
    <w:rsid w:val="003F48DC"/>
    <w:rsid w:val="003F75A4"/>
    <w:rsid w:val="004011C9"/>
    <w:rsid w:val="004012D7"/>
    <w:rsid w:val="00404B7D"/>
    <w:rsid w:val="0040561C"/>
    <w:rsid w:val="00405CAD"/>
    <w:rsid w:val="004076D8"/>
    <w:rsid w:val="00407E0D"/>
    <w:rsid w:val="00414300"/>
    <w:rsid w:val="0041448C"/>
    <w:rsid w:val="004153F8"/>
    <w:rsid w:val="00415A9F"/>
    <w:rsid w:val="00416374"/>
    <w:rsid w:val="00417775"/>
    <w:rsid w:val="00420717"/>
    <w:rsid w:val="00421894"/>
    <w:rsid w:val="00421C32"/>
    <w:rsid w:val="00422012"/>
    <w:rsid w:val="00422663"/>
    <w:rsid w:val="004236AE"/>
    <w:rsid w:val="004236C1"/>
    <w:rsid w:val="00425875"/>
    <w:rsid w:val="00430A5A"/>
    <w:rsid w:val="004311D6"/>
    <w:rsid w:val="00432878"/>
    <w:rsid w:val="00432A1E"/>
    <w:rsid w:val="00433A52"/>
    <w:rsid w:val="00434741"/>
    <w:rsid w:val="00435E19"/>
    <w:rsid w:val="00436AE8"/>
    <w:rsid w:val="00441189"/>
    <w:rsid w:val="004428D8"/>
    <w:rsid w:val="00445185"/>
    <w:rsid w:val="004459F6"/>
    <w:rsid w:val="0044710B"/>
    <w:rsid w:val="0045702A"/>
    <w:rsid w:val="00460398"/>
    <w:rsid w:val="00462CD1"/>
    <w:rsid w:val="004633F4"/>
    <w:rsid w:val="0046390D"/>
    <w:rsid w:val="0046414A"/>
    <w:rsid w:val="00465009"/>
    <w:rsid w:val="00471399"/>
    <w:rsid w:val="00471A4A"/>
    <w:rsid w:val="00471CA8"/>
    <w:rsid w:val="004749C9"/>
    <w:rsid w:val="004760D6"/>
    <w:rsid w:val="00482DD5"/>
    <w:rsid w:val="00482E6D"/>
    <w:rsid w:val="004831A6"/>
    <w:rsid w:val="004837E0"/>
    <w:rsid w:val="004843D9"/>
    <w:rsid w:val="004860CF"/>
    <w:rsid w:val="00486158"/>
    <w:rsid w:val="00487031"/>
    <w:rsid w:val="00487847"/>
    <w:rsid w:val="0049151A"/>
    <w:rsid w:val="00492C0C"/>
    <w:rsid w:val="00492C51"/>
    <w:rsid w:val="004944A8"/>
    <w:rsid w:val="0049646A"/>
    <w:rsid w:val="004A05B7"/>
    <w:rsid w:val="004A285A"/>
    <w:rsid w:val="004A2A8C"/>
    <w:rsid w:val="004A76B5"/>
    <w:rsid w:val="004B0C66"/>
    <w:rsid w:val="004B16D2"/>
    <w:rsid w:val="004B3513"/>
    <w:rsid w:val="004B472A"/>
    <w:rsid w:val="004B54A5"/>
    <w:rsid w:val="004C3184"/>
    <w:rsid w:val="004C77D9"/>
    <w:rsid w:val="004C79A9"/>
    <w:rsid w:val="004C7C08"/>
    <w:rsid w:val="004D062D"/>
    <w:rsid w:val="004D07DD"/>
    <w:rsid w:val="004D2448"/>
    <w:rsid w:val="004D3D97"/>
    <w:rsid w:val="004D695D"/>
    <w:rsid w:val="004E3516"/>
    <w:rsid w:val="004E475F"/>
    <w:rsid w:val="004E62B9"/>
    <w:rsid w:val="004E6FCF"/>
    <w:rsid w:val="004F0C55"/>
    <w:rsid w:val="004F0CB3"/>
    <w:rsid w:val="004F2A99"/>
    <w:rsid w:val="004F6422"/>
    <w:rsid w:val="00501D30"/>
    <w:rsid w:val="005022B0"/>
    <w:rsid w:val="00503A66"/>
    <w:rsid w:val="00506ADA"/>
    <w:rsid w:val="0050733E"/>
    <w:rsid w:val="00513386"/>
    <w:rsid w:val="00513EC0"/>
    <w:rsid w:val="0051405C"/>
    <w:rsid w:val="005203B5"/>
    <w:rsid w:val="0052062E"/>
    <w:rsid w:val="00520C86"/>
    <w:rsid w:val="00520F5C"/>
    <w:rsid w:val="00521910"/>
    <w:rsid w:val="00522D6B"/>
    <w:rsid w:val="00523306"/>
    <w:rsid w:val="00523ED1"/>
    <w:rsid w:val="005246E1"/>
    <w:rsid w:val="00525174"/>
    <w:rsid w:val="00525187"/>
    <w:rsid w:val="00530B08"/>
    <w:rsid w:val="00530E21"/>
    <w:rsid w:val="005319E6"/>
    <w:rsid w:val="00531F85"/>
    <w:rsid w:val="00532F85"/>
    <w:rsid w:val="0053300A"/>
    <w:rsid w:val="00534874"/>
    <w:rsid w:val="005401EF"/>
    <w:rsid w:val="00542652"/>
    <w:rsid w:val="00543F38"/>
    <w:rsid w:val="00544593"/>
    <w:rsid w:val="005460D8"/>
    <w:rsid w:val="00546252"/>
    <w:rsid w:val="00551FEA"/>
    <w:rsid w:val="0055458E"/>
    <w:rsid w:val="0055513B"/>
    <w:rsid w:val="005563C4"/>
    <w:rsid w:val="00557B05"/>
    <w:rsid w:val="00557C86"/>
    <w:rsid w:val="00564CB3"/>
    <w:rsid w:val="005677F2"/>
    <w:rsid w:val="005709C4"/>
    <w:rsid w:val="00574384"/>
    <w:rsid w:val="00576C3C"/>
    <w:rsid w:val="005770CE"/>
    <w:rsid w:val="00580F95"/>
    <w:rsid w:val="0058240C"/>
    <w:rsid w:val="00582F25"/>
    <w:rsid w:val="0058665A"/>
    <w:rsid w:val="00586D1B"/>
    <w:rsid w:val="00590415"/>
    <w:rsid w:val="00591AA9"/>
    <w:rsid w:val="005924D7"/>
    <w:rsid w:val="00595171"/>
    <w:rsid w:val="005967BB"/>
    <w:rsid w:val="005974DF"/>
    <w:rsid w:val="005A0809"/>
    <w:rsid w:val="005A311E"/>
    <w:rsid w:val="005A3628"/>
    <w:rsid w:val="005A5414"/>
    <w:rsid w:val="005A78A8"/>
    <w:rsid w:val="005B1C17"/>
    <w:rsid w:val="005B27FF"/>
    <w:rsid w:val="005B35A8"/>
    <w:rsid w:val="005C1170"/>
    <w:rsid w:val="005C24C9"/>
    <w:rsid w:val="005C2D87"/>
    <w:rsid w:val="005C3B03"/>
    <w:rsid w:val="005C3D68"/>
    <w:rsid w:val="005C61B2"/>
    <w:rsid w:val="005C7EC1"/>
    <w:rsid w:val="005D0928"/>
    <w:rsid w:val="005D361C"/>
    <w:rsid w:val="005D5344"/>
    <w:rsid w:val="005D697A"/>
    <w:rsid w:val="005D6D08"/>
    <w:rsid w:val="005D75C5"/>
    <w:rsid w:val="005E232C"/>
    <w:rsid w:val="005E25FB"/>
    <w:rsid w:val="005E3236"/>
    <w:rsid w:val="005E3690"/>
    <w:rsid w:val="005E59AF"/>
    <w:rsid w:val="005E6598"/>
    <w:rsid w:val="005E6D17"/>
    <w:rsid w:val="005E6D3D"/>
    <w:rsid w:val="005E709E"/>
    <w:rsid w:val="005E7431"/>
    <w:rsid w:val="005E7CAC"/>
    <w:rsid w:val="005F0BD2"/>
    <w:rsid w:val="005F190B"/>
    <w:rsid w:val="005F45C5"/>
    <w:rsid w:val="005F4F39"/>
    <w:rsid w:val="00603393"/>
    <w:rsid w:val="00603D2E"/>
    <w:rsid w:val="006041DA"/>
    <w:rsid w:val="00604E31"/>
    <w:rsid w:val="00605077"/>
    <w:rsid w:val="00605C15"/>
    <w:rsid w:val="00605D6E"/>
    <w:rsid w:val="00606525"/>
    <w:rsid w:val="00610C5A"/>
    <w:rsid w:val="00612671"/>
    <w:rsid w:val="0061298F"/>
    <w:rsid w:val="006134EE"/>
    <w:rsid w:val="00615846"/>
    <w:rsid w:val="00615C26"/>
    <w:rsid w:val="006215C6"/>
    <w:rsid w:val="0062194D"/>
    <w:rsid w:val="00621BDC"/>
    <w:rsid w:val="006224E9"/>
    <w:rsid w:val="006240D0"/>
    <w:rsid w:val="006244E1"/>
    <w:rsid w:val="006256F1"/>
    <w:rsid w:val="00626782"/>
    <w:rsid w:val="00627885"/>
    <w:rsid w:val="00631D7B"/>
    <w:rsid w:val="00634F14"/>
    <w:rsid w:val="00636046"/>
    <w:rsid w:val="0063675B"/>
    <w:rsid w:val="00637298"/>
    <w:rsid w:val="00637426"/>
    <w:rsid w:val="006375ED"/>
    <w:rsid w:val="00637B30"/>
    <w:rsid w:val="00651B84"/>
    <w:rsid w:val="00651E89"/>
    <w:rsid w:val="00655981"/>
    <w:rsid w:val="00655DAC"/>
    <w:rsid w:val="00657E82"/>
    <w:rsid w:val="0066081D"/>
    <w:rsid w:val="006612A4"/>
    <w:rsid w:val="00661A8E"/>
    <w:rsid w:val="00662A0E"/>
    <w:rsid w:val="00663217"/>
    <w:rsid w:val="00663954"/>
    <w:rsid w:val="0066575A"/>
    <w:rsid w:val="00665A27"/>
    <w:rsid w:val="00667277"/>
    <w:rsid w:val="0066748E"/>
    <w:rsid w:val="006724C9"/>
    <w:rsid w:val="00673BE7"/>
    <w:rsid w:val="00674FCD"/>
    <w:rsid w:val="00680AEE"/>
    <w:rsid w:val="0068265F"/>
    <w:rsid w:val="0068324E"/>
    <w:rsid w:val="00683654"/>
    <w:rsid w:val="00684C98"/>
    <w:rsid w:val="0068643D"/>
    <w:rsid w:val="0069059D"/>
    <w:rsid w:val="00690ADF"/>
    <w:rsid w:val="00693416"/>
    <w:rsid w:val="00693DE0"/>
    <w:rsid w:val="0069478C"/>
    <w:rsid w:val="00694957"/>
    <w:rsid w:val="006956EF"/>
    <w:rsid w:val="006969A9"/>
    <w:rsid w:val="00696EA2"/>
    <w:rsid w:val="006A083F"/>
    <w:rsid w:val="006A351F"/>
    <w:rsid w:val="006A3B16"/>
    <w:rsid w:val="006A4A8A"/>
    <w:rsid w:val="006A5606"/>
    <w:rsid w:val="006A6949"/>
    <w:rsid w:val="006A7447"/>
    <w:rsid w:val="006A7570"/>
    <w:rsid w:val="006B10F8"/>
    <w:rsid w:val="006B360A"/>
    <w:rsid w:val="006B3E5F"/>
    <w:rsid w:val="006B5122"/>
    <w:rsid w:val="006B56CA"/>
    <w:rsid w:val="006B77BC"/>
    <w:rsid w:val="006B7E0D"/>
    <w:rsid w:val="006C116B"/>
    <w:rsid w:val="006C17F9"/>
    <w:rsid w:val="006C1ECD"/>
    <w:rsid w:val="006C7D9B"/>
    <w:rsid w:val="006D0683"/>
    <w:rsid w:val="006D323E"/>
    <w:rsid w:val="006D33BA"/>
    <w:rsid w:val="006D3D98"/>
    <w:rsid w:val="006D4424"/>
    <w:rsid w:val="006D5E0A"/>
    <w:rsid w:val="006D5FCF"/>
    <w:rsid w:val="006D797D"/>
    <w:rsid w:val="006E3993"/>
    <w:rsid w:val="006E457D"/>
    <w:rsid w:val="006E6355"/>
    <w:rsid w:val="006E6B21"/>
    <w:rsid w:val="006E73F8"/>
    <w:rsid w:val="006F248B"/>
    <w:rsid w:val="006F2A8A"/>
    <w:rsid w:val="006F3E4F"/>
    <w:rsid w:val="006F4BF7"/>
    <w:rsid w:val="006F5F13"/>
    <w:rsid w:val="006F6528"/>
    <w:rsid w:val="00701861"/>
    <w:rsid w:val="007102B2"/>
    <w:rsid w:val="0071171A"/>
    <w:rsid w:val="007122D0"/>
    <w:rsid w:val="00713260"/>
    <w:rsid w:val="007161AF"/>
    <w:rsid w:val="00716B96"/>
    <w:rsid w:val="00720BDB"/>
    <w:rsid w:val="0072452D"/>
    <w:rsid w:val="00725F8E"/>
    <w:rsid w:val="007342A7"/>
    <w:rsid w:val="0073485B"/>
    <w:rsid w:val="00735B97"/>
    <w:rsid w:val="00735CF3"/>
    <w:rsid w:val="00736F5A"/>
    <w:rsid w:val="00737369"/>
    <w:rsid w:val="00740E0A"/>
    <w:rsid w:val="0074427D"/>
    <w:rsid w:val="00744A70"/>
    <w:rsid w:val="00745D78"/>
    <w:rsid w:val="007473E7"/>
    <w:rsid w:val="00747611"/>
    <w:rsid w:val="00747BB2"/>
    <w:rsid w:val="0075066A"/>
    <w:rsid w:val="00751A25"/>
    <w:rsid w:val="007526E9"/>
    <w:rsid w:val="00757751"/>
    <w:rsid w:val="00762CE9"/>
    <w:rsid w:val="00763AAE"/>
    <w:rsid w:val="00763DF8"/>
    <w:rsid w:val="007653B4"/>
    <w:rsid w:val="0076701B"/>
    <w:rsid w:val="0077083B"/>
    <w:rsid w:val="0077086C"/>
    <w:rsid w:val="007724CC"/>
    <w:rsid w:val="007730F4"/>
    <w:rsid w:val="00774321"/>
    <w:rsid w:val="00776D5C"/>
    <w:rsid w:val="0077709F"/>
    <w:rsid w:val="00777306"/>
    <w:rsid w:val="00780713"/>
    <w:rsid w:val="00781FBC"/>
    <w:rsid w:val="00782122"/>
    <w:rsid w:val="00783372"/>
    <w:rsid w:val="00783EB4"/>
    <w:rsid w:val="00786558"/>
    <w:rsid w:val="00786FD0"/>
    <w:rsid w:val="00791A6A"/>
    <w:rsid w:val="0079202B"/>
    <w:rsid w:val="00792570"/>
    <w:rsid w:val="00792CB2"/>
    <w:rsid w:val="00793B8C"/>
    <w:rsid w:val="0079492A"/>
    <w:rsid w:val="007953A2"/>
    <w:rsid w:val="00797BC6"/>
    <w:rsid w:val="007A0171"/>
    <w:rsid w:val="007A081C"/>
    <w:rsid w:val="007A12CE"/>
    <w:rsid w:val="007A18FF"/>
    <w:rsid w:val="007A35BE"/>
    <w:rsid w:val="007A7BF4"/>
    <w:rsid w:val="007B1ECB"/>
    <w:rsid w:val="007B273D"/>
    <w:rsid w:val="007B2CD8"/>
    <w:rsid w:val="007B4AB0"/>
    <w:rsid w:val="007B4AC9"/>
    <w:rsid w:val="007B522A"/>
    <w:rsid w:val="007B55ED"/>
    <w:rsid w:val="007B67DA"/>
    <w:rsid w:val="007B7CFE"/>
    <w:rsid w:val="007C0142"/>
    <w:rsid w:val="007C04A5"/>
    <w:rsid w:val="007C1FC0"/>
    <w:rsid w:val="007D1D9C"/>
    <w:rsid w:val="007D49DC"/>
    <w:rsid w:val="007D556A"/>
    <w:rsid w:val="007D6D3E"/>
    <w:rsid w:val="007D6ED6"/>
    <w:rsid w:val="007D7A84"/>
    <w:rsid w:val="007E0B95"/>
    <w:rsid w:val="007E0CBA"/>
    <w:rsid w:val="007E2C65"/>
    <w:rsid w:val="007E4E62"/>
    <w:rsid w:val="007E7A3B"/>
    <w:rsid w:val="007E7FC7"/>
    <w:rsid w:val="007F067E"/>
    <w:rsid w:val="007F06CC"/>
    <w:rsid w:val="007F1A80"/>
    <w:rsid w:val="007F1F0D"/>
    <w:rsid w:val="007F21D0"/>
    <w:rsid w:val="007F2787"/>
    <w:rsid w:val="007F30DA"/>
    <w:rsid w:val="007F58AB"/>
    <w:rsid w:val="007F5A43"/>
    <w:rsid w:val="007F5B8C"/>
    <w:rsid w:val="007F63FC"/>
    <w:rsid w:val="007F6BA1"/>
    <w:rsid w:val="007F7937"/>
    <w:rsid w:val="00800B3D"/>
    <w:rsid w:val="00801026"/>
    <w:rsid w:val="00801129"/>
    <w:rsid w:val="00801ABB"/>
    <w:rsid w:val="008022D7"/>
    <w:rsid w:val="00802799"/>
    <w:rsid w:val="00802A53"/>
    <w:rsid w:val="00803562"/>
    <w:rsid w:val="0080356B"/>
    <w:rsid w:val="00803FAC"/>
    <w:rsid w:val="00805320"/>
    <w:rsid w:val="0080595D"/>
    <w:rsid w:val="00805ABA"/>
    <w:rsid w:val="00807083"/>
    <w:rsid w:val="00810C48"/>
    <w:rsid w:val="008130B1"/>
    <w:rsid w:val="00817C2F"/>
    <w:rsid w:val="008213CD"/>
    <w:rsid w:val="00822D11"/>
    <w:rsid w:val="00824151"/>
    <w:rsid w:val="00824B5D"/>
    <w:rsid w:val="008258C0"/>
    <w:rsid w:val="00830370"/>
    <w:rsid w:val="00830657"/>
    <w:rsid w:val="00830911"/>
    <w:rsid w:val="008309FC"/>
    <w:rsid w:val="00832982"/>
    <w:rsid w:val="00834ADB"/>
    <w:rsid w:val="00834C21"/>
    <w:rsid w:val="00834CAE"/>
    <w:rsid w:val="0084064D"/>
    <w:rsid w:val="00842AB6"/>
    <w:rsid w:val="00845203"/>
    <w:rsid w:val="00845917"/>
    <w:rsid w:val="008469FD"/>
    <w:rsid w:val="0085114C"/>
    <w:rsid w:val="00851262"/>
    <w:rsid w:val="00857149"/>
    <w:rsid w:val="008571B6"/>
    <w:rsid w:val="00861AA6"/>
    <w:rsid w:val="00862896"/>
    <w:rsid w:val="00864ADD"/>
    <w:rsid w:val="00870315"/>
    <w:rsid w:val="00870B10"/>
    <w:rsid w:val="00873B9C"/>
    <w:rsid w:val="0087436B"/>
    <w:rsid w:val="0087691B"/>
    <w:rsid w:val="00877CC3"/>
    <w:rsid w:val="008812BF"/>
    <w:rsid w:val="008816F3"/>
    <w:rsid w:val="00881792"/>
    <w:rsid w:val="008839D2"/>
    <w:rsid w:val="008841EC"/>
    <w:rsid w:val="00884EF8"/>
    <w:rsid w:val="0088532E"/>
    <w:rsid w:val="008856AF"/>
    <w:rsid w:val="00886F0A"/>
    <w:rsid w:val="008918B9"/>
    <w:rsid w:val="00892E12"/>
    <w:rsid w:val="00894C42"/>
    <w:rsid w:val="00896CC9"/>
    <w:rsid w:val="008A306B"/>
    <w:rsid w:val="008A3D31"/>
    <w:rsid w:val="008A4CE5"/>
    <w:rsid w:val="008A7B5E"/>
    <w:rsid w:val="008B051A"/>
    <w:rsid w:val="008B084B"/>
    <w:rsid w:val="008B12A3"/>
    <w:rsid w:val="008B2520"/>
    <w:rsid w:val="008B2A20"/>
    <w:rsid w:val="008B3DC4"/>
    <w:rsid w:val="008B4942"/>
    <w:rsid w:val="008B5513"/>
    <w:rsid w:val="008B672D"/>
    <w:rsid w:val="008B6771"/>
    <w:rsid w:val="008B6B0D"/>
    <w:rsid w:val="008C033D"/>
    <w:rsid w:val="008C0DE5"/>
    <w:rsid w:val="008C1973"/>
    <w:rsid w:val="008C279E"/>
    <w:rsid w:val="008C2CA7"/>
    <w:rsid w:val="008C3B8B"/>
    <w:rsid w:val="008C48A9"/>
    <w:rsid w:val="008D3596"/>
    <w:rsid w:val="008D4963"/>
    <w:rsid w:val="008D572E"/>
    <w:rsid w:val="008D5BC3"/>
    <w:rsid w:val="008D5CC0"/>
    <w:rsid w:val="008E13E3"/>
    <w:rsid w:val="008E1A07"/>
    <w:rsid w:val="008E2D88"/>
    <w:rsid w:val="008E2E8A"/>
    <w:rsid w:val="008E32F6"/>
    <w:rsid w:val="008E3691"/>
    <w:rsid w:val="008E3996"/>
    <w:rsid w:val="008E431C"/>
    <w:rsid w:val="008E4760"/>
    <w:rsid w:val="008E4FFF"/>
    <w:rsid w:val="008E6246"/>
    <w:rsid w:val="008E62BD"/>
    <w:rsid w:val="008E71E1"/>
    <w:rsid w:val="008E7247"/>
    <w:rsid w:val="008F0014"/>
    <w:rsid w:val="008F0082"/>
    <w:rsid w:val="008F041C"/>
    <w:rsid w:val="008F0F4D"/>
    <w:rsid w:val="008F4545"/>
    <w:rsid w:val="0090022D"/>
    <w:rsid w:val="009004F4"/>
    <w:rsid w:val="00902AC6"/>
    <w:rsid w:val="00902D0D"/>
    <w:rsid w:val="00904C4C"/>
    <w:rsid w:val="0090719F"/>
    <w:rsid w:val="0090755C"/>
    <w:rsid w:val="00910899"/>
    <w:rsid w:val="009131BD"/>
    <w:rsid w:val="0091383E"/>
    <w:rsid w:val="00916397"/>
    <w:rsid w:val="0091692B"/>
    <w:rsid w:val="00920AE5"/>
    <w:rsid w:val="00922A71"/>
    <w:rsid w:val="00922AE8"/>
    <w:rsid w:val="00922F80"/>
    <w:rsid w:val="00924C9F"/>
    <w:rsid w:val="00930395"/>
    <w:rsid w:val="00930A86"/>
    <w:rsid w:val="00930DA8"/>
    <w:rsid w:val="00931FE0"/>
    <w:rsid w:val="00933022"/>
    <w:rsid w:val="0093391E"/>
    <w:rsid w:val="009418A6"/>
    <w:rsid w:val="00942AF6"/>
    <w:rsid w:val="009455CE"/>
    <w:rsid w:val="00950143"/>
    <w:rsid w:val="00950E9A"/>
    <w:rsid w:val="00951266"/>
    <w:rsid w:val="009519CD"/>
    <w:rsid w:val="00951AB3"/>
    <w:rsid w:val="00952A75"/>
    <w:rsid w:val="00953210"/>
    <w:rsid w:val="00955C9C"/>
    <w:rsid w:val="009571AC"/>
    <w:rsid w:val="00961AAA"/>
    <w:rsid w:val="009664DE"/>
    <w:rsid w:val="00967E51"/>
    <w:rsid w:val="009715D0"/>
    <w:rsid w:val="00973FB7"/>
    <w:rsid w:val="009776BC"/>
    <w:rsid w:val="00980FDC"/>
    <w:rsid w:val="00981071"/>
    <w:rsid w:val="009814B1"/>
    <w:rsid w:val="0098205B"/>
    <w:rsid w:val="0098290F"/>
    <w:rsid w:val="00982EC9"/>
    <w:rsid w:val="009832C5"/>
    <w:rsid w:val="00987B91"/>
    <w:rsid w:val="00991E07"/>
    <w:rsid w:val="00992AD1"/>
    <w:rsid w:val="00993CD2"/>
    <w:rsid w:val="00994968"/>
    <w:rsid w:val="00994CE1"/>
    <w:rsid w:val="00994E10"/>
    <w:rsid w:val="0099521E"/>
    <w:rsid w:val="009A730F"/>
    <w:rsid w:val="009A7C99"/>
    <w:rsid w:val="009B0AA0"/>
    <w:rsid w:val="009B1CEC"/>
    <w:rsid w:val="009B1E4E"/>
    <w:rsid w:val="009B25E0"/>
    <w:rsid w:val="009B3315"/>
    <w:rsid w:val="009B7ACB"/>
    <w:rsid w:val="009C0303"/>
    <w:rsid w:val="009C11F3"/>
    <w:rsid w:val="009C16B6"/>
    <w:rsid w:val="009C23E1"/>
    <w:rsid w:val="009C27F1"/>
    <w:rsid w:val="009C2A42"/>
    <w:rsid w:val="009C2F47"/>
    <w:rsid w:val="009C4A04"/>
    <w:rsid w:val="009C72A4"/>
    <w:rsid w:val="009C7A5B"/>
    <w:rsid w:val="009D1102"/>
    <w:rsid w:val="009D460D"/>
    <w:rsid w:val="009D666D"/>
    <w:rsid w:val="009D6C08"/>
    <w:rsid w:val="009E316F"/>
    <w:rsid w:val="009E3499"/>
    <w:rsid w:val="009E605F"/>
    <w:rsid w:val="009F0AC0"/>
    <w:rsid w:val="009F10BA"/>
    <w:rsid w:val="009F2BC0"/>
    <w:rsid w:val="009F46E2"/>
    <w:rsid w:val="009F5F76"/>
    <w:rsid w:val="009F6EBB"/>
    <w:rsid w:val="009F78BE"/>
    <w:rsid w:val="009F7F07"/>
    <w:rsid w:val="00A02326"/>
    <w:rsid w:val="00A0322E"/>
    <w:rsid w:val="00A03998"/>
    <w:rsid w:val="00A04089"/>
    <w:rsid w:val="00A062BE"/>
    <w:rsid w:val="00A07B4F"/>
    <w:rsid w:val="00A14380"/>
    <w:rsid w:val="00A14AED"/>
    <w:rsid w:val="00A1530C"/>
    <w:rsid w:val="00A15B3A"/>
    <w:rsid w:val="00A17109"/>
    <w:rsid w:val="00A21260"/>
    <w:rsid w:val="00A21CE9"/>
    <w:rsid w:val="00A22E5D"/>
    <w:rsid w:val="00A2341A"/>
    <w:rsid w:val="00A26809"/>
    <w:rsid w:val="00A27B28"/>
    <w:rsid w:val="00A27F63"/>
    <w:rsid w:val="00A31AB1"/>
    <w:rsid w:val="00A3358F"/>
    <w:rsid w:val="00A3479A"/>
    <w:rsid w:val="00A3630F"/>
    <w:rsid w:val="00A36B98"/>
    <w:rsid w:val="00A36E99"/>
    <w:rsid w:val="00A37748"/>
    <w:rsid w:val="00A401B1"/>
    <w:rsid w:val="00A40D4D"/>
    <w:rsid w:val="00A41CFA"/>
    <w:rsid w:val="00A41E39"/>
    <w:rsid w:val="00A42819"/>
    <w:rsid w:val="00A44B6B"/>
    <w:rsid w:val="00A4551A"/>
    <w:rsid w:val="00A45ED1"/>
    <w:rsid w:val="00A46987"/>
    <w:rsid w:val="00A51714"/>
    <w:rsid w:val="00A520D6"/>
    <w:rsid w:val="00A52918"/>
    <w:rsid w:val="00A52A96"/>
    <w:rsid w:val="00A52C22"/>
    <w:rsid w:val="00A548E0"/>
    <w:rsid w:val="00A55149"/>
    <w:rsid w:val="00A558DE"/>
    <w:rsid w:val="00A562D7"/>
    <w:rsid w:val="00A604C5"/>
    <w:rsid w:val="00A60E7E"/>
    <w:rsid w:val="00A62DBE"/>
    <w:rsid w:val="00A64097"/>
    <w:rsid w:val="00A65DBC"/>
    <w:rsid w:val="00A67C68"/>
    <w:rsid w:val="00A67CE6"/>
    <w:rsid w:val="00A70BDC"/>
    <w:rsid w:val="00A72010"/>
    <w:rsid w:val="00A7212D"/>
    <w:rsid w:val="00A73364"/>
    <w:rsid w:val="00A75603"/>
    <w:rsid w:val="00A75B80"/>
    <w:rsid w:val="00A76885"/>
    <w:rsid w:val="00A76945"/>
    <w:rsid w:val="00A80CFB"/>
    <w:rsid w:val="00A81881"/>
    <w:rsid w:val="00A84F69"/>
    <w:rsid w:val="00A85893"/>
    <w:rsid w:val="00A86755"/>
    <w:rsid w:val="00A955F7"/>
    <w:rsid w:val="00A957FA"/>
    <w:rsid w:val="00AA0AAD"/>
    <w:rsid w:val="00AA1A80"/>
    <w:rsid w:val="00AA1F29"/>
    <w:rsid w:val="00AA2251"/>
    <w:rsid w:val="00AA266A"/>
    <w:rsid w:val="00AA3CAA"/>
    <w:rsid w:val="00AA5C6F"/>
    <w:rsid w:val="00AA7BDC"/>
    <w:rsid w:val="00AB0F41"/>
    <w:rsid w:val="00AB1A61"/>
    <w:rsid w:val="00AB412C"/>
    <w:rsid w:val="00AB4E8A"/>
    <w:rsid w:val="00AC3CBA"/>
    <w:rsid w:val="00AC453A"/>
    <w:rsid w:val="00AC4BFB"/>
    <w:rsid w:val="00AC54C2"/>
    <w:rsid w:val="00AC7B97"/>
    <w:rsid w:val="00AC7C29"/>
    <w:rsid w:val="00AC7C43"/>
    <w:rsid w:val="00AD0EE7"/>
    <w:rsid w:val="00AD15B8"/>
    <w:rsid w:val="00AD6F4A"/>
    <w:rsid w:val="00AE0E15"/>
    <w:rsid w:val="00AE1B07"/>
    <w:rsid w:val="00AE4711"/>
    <w:rsid w:val="00AE6182"/>
    <w:rsid w:val="00AE6653"/>
    <w:rsid w:val="00AE7F16"/>
    <w:rsid w:val="00AF00FA"/>
    <w:rsid w:val="00AF1E99"/>
    <w:rsid w:val="00AF2587"/>
    <w:rsid w:val="00AF2AB7"/>
    <w:rsid w:val="00AF4FBF"/>
    <w:rsid w:val="00AF65D6"/>
    <w:rsid w:val="00B01D0E"/>
    <w:rsid w:val="00B02C84"/>
    <w:rsid w:val="00B04BA0"/>
    <w:rsid w:val="00B06342"/>
    <w:rsid w:val="00B06450"/>
    <w:rsid w:val="00B12170"/>
    <w:rsid w:val="00B12C67"/>
    <w:rsid w:val="00B13F36"/>
    <w:rsid w:val="00B15891"/>
    <w:rsid w:val="00B15CFD"/>
    <w:rsid w:val="00B16C20"/>
    <w:rsid w:val="00B205D0"/>
    <w:rsid w:val="00B21C64"/>
    <w:rsid w:val="00B23666"/>
    <w:rsid w:val="00B243FE"/>
    <w:rsid w:val="00B24BE3"/>
    <w:rsid w:val="00B24CD1"/>
    <w:rsid w:val="00B24D3E"/>
    <w:rsid w:val="00B256DD"/>
    <w:rsid w:val="00B2639C"/>
    <w:rsid w:val="00B26491"/>
    <w:rsid w:val="00B32530"/>
    <w:rsid w:val="00B34000"/>
    <w:rsid w:val="00B350EF"/>
    <w:rsid w:val="00B35569"/>
    <w:rsid w:val="00B36751"/>
    <w:rsid w:val="00B41729"/>
    <w:rsid w:val="00B46732"/>
    <w:rsid w:val="00B47111"/>
    <w:rsid w:val="00B5079E"/>
    <w:rsid w:val="00B51063"/>
    <w:rsid w:val="00B520DC"/>
    <w:rsid w:val="00B52720"/>
    <w:rsid w:val="00B527D1"/>
    <w:rsid w:val="00B53F11"/>
    <w:rsid w:val="00B552E2"/>
    <w:rsid w:val="00B558C2"/>
    <w:rsid w:val="00B56214"/>
    <w:rsid w:val="00B56254"/>
    <w:rsid w:val="00B57CA4"/>
    <w:rsid w:val="00B607AD"/>
    <w:rsid w:val="00B61FAB"/>
    <w:rsid w:val="00B62292"/>
    <w:rsid w:val="00B6277C"/>
    <w:rsid w:val="00B639F8"/>
    <w:rsid w:val="00B64338"/>
    <w:rsid w:val="00B65510"/>
    <w:rsid w:val="00B65A2E"/>
    <w:rsid w:val="00B678F3"/>
    <w:rsid w:val="00B67BD2"/>
    <w:rsid w:val="00B702EA"/>
    <w:rsid w:val="00B70A4B"/>
    <w:rsid w:val="00B72C28"/>
    <w:rsid w:val="00B739C5"/>
    <w:rsid w:val="00B74E20"/>
    <w:rsid w:val="00B7599F"/>
    <w:rsid w:val="00B76731"/>
    <w:rsid w:val="00B77834"/>
    <w:rsid w:val="00B80447"/>
    <w:rsid w:val="00B87121"/>
    <w:rsid w:val="00B90205"/>
    <w:rsid w:val="00B91BC8"/>
    <w:rsid w:val="00B9295A"/>
    <w:rsid w:val="00B92E2F"/>
    <w:rsid w:val="00B9494E"/>
    <w:rsid w:val="00B9622F"/>
    <w:rsid w:val="00BA0803"/>
    <w:rsid w:val="00BA1226"/>
    <w:rsid w:val="00BA25AE"/>
    <w:rsid w:val="00BA2B39"/>
    <w:rsid w:val="00BA5720"/>
    <w:rsid w:val="00BA67FF"/>
    <w:rsid w:val="00BA7105"/>
    <w:rsid w:val="00BA79B6"/>
    <w:rsid w:val="00BB050E"/>
    <w:rsid w:val="00BB1D58"/>
    <w:rsid w:val="00BB292E"/>
    <w:rsid w:val="00BB2A08"/>
    <w:rsid w:val="00BB3C16"/>
    <w:rsid w:val="00BB3F69"/>
    <w:rsid w:val="00BB4792"/>
    <w:rsid w:val="00BB64C6"/>
    <w:rsid w:val="00BB662B"/>
    <w:rsid w:val="00BB7123"/>
    <w:rsid w:val="00BC48D1"/>
    <w:rsid w:val="00BC5966"/>
    <w:rsid w:val="00BC615A"/>
    <w:rsid w:val="00BC7BBC"/>
    <w:rsid w:val="00BD08FE"/>
    <w:rsid w:val="00BD1654"/>
    <w:rsid w:val="00BD1ACE"/>
    <w:rsid w:val="00BD34A7"/>
    <w:rsid w:val="00BD4484"/>
    <w:rsid w:val="00BD667B"/>
    <w:rsid w:val="00BD7551"/>
    <w:rsid w:val="00BD7AE0"/>
    <w:rsid w:val="00BD7CE1"/>
    <w:rsid w:val="00BE0BD6"/>
    <w:rsid w:val="00BE18F1"/>
    <w:rsid w:val="00BE19A8"/>
    <w:rsid w:val="00BE32C3"/>
    <w:rsid w:val="00BE3683"/>
    <w:rsid w:val="00BE57CD"/>
    <w:rsid w:val="00BE57D0"/>
    <w:rsid w:val="00BE63D6"/>
    <w:rsid w:val="00BE6681"/>
    <w:rsid w:val="00BF0AF6"/>
    <w:rsid w:val="00BF0E0B"/>
    <w:rsid w:val="00BF1D3A"/>
    <w:rsid w:val="00BF2513"/>
    <w:rsid w:val="00BF2A46"/>
    <w:rsid w:val="00BF440B"/>
    <w:rsid w:val="00C03C58"/>
    <w:rsid w:val="00C06851"/>
    <w:rsid w:val="00C06FCD"/>
    <w:rsid w:val="00C07138"/>
    <w:rsid w:val="00C12174"/>
    <w:rsid w:val="00C125D8"/>
    <w:rsid w:val="00C1338A"/>
    <w:rsid w:val="00C1379C"/>
    <w:rsid w:val="00C1660A"/>
    <w:rsid w:val="00C16669"/>
    <w:rsid w:val="00C177B1"/>
    <w:rsid w:val="00C1794F"/>
    <w:rsid w:val="00C21B09"/>
    <w:rsid w:val="00C222E7"/>
    <w:rsid w:val="00C2232B"/>
    <w:rsid w:val="00C238DB"/>
    <w:rsid w:val="00C2558B"/>
    <w:rsid w:val="00C25BB6"/>
    <w:rsid w:val="00C261D9"/>
    <w:rsid w:val="00C265EE"/>
    <w:rsid w:val="00C3093B"/>
    <w:rsid w:val="00C33CFC"/>
    <w:rsid w:val="00C34569"/>
    <w:rsid w:val="00C3526D"/>
    <w:rsid w:val="00C352E3"/>
    <w:rsid w:val="00C3557B"/>
    <w:rsid w:val="00C35DC0"/>
    <w:rsid w:val="00C37AE8"/>
    <w:rsid w:val="00C419A3"/>
    <w:rsid w:val="00C479B0"/>
    <w:rsid w:val="00C5001A"/>
    <w:rsid w:val="00C512E0"/>
    <w:rsid w:val="00C54F33"/>
    <w:rsid w:val="00C56C1A"/>
    <w:rsid w:val="00C60138"/>
    <w:rsid w:val="00C606C9"/>
    <w:rsid w:val="00C617F3"/>
    <w:rsid w:val="00C6311F"/>
    <w:rsid w:val="00C6513B"/>
    <w:rsid w:val="00C7034B"/>
    <w:rsid w:val="00C70A76"/>
    <w:rsid w:val="00C71739"/>
    <w:rsid w:val="00C72C8D"/>
    <w:rsid w:val="00C74CAA"/>
    <w:rsid w:val="00C7569A"/>
    <w:rsid w:val="00C76EE3"/>
    <w:rsid w:val="00C7708E"/>
    <w:rsid w:val="00C812D6"/>
    <w:rsid w:val="00C81E52"/>
    <w:rsid w:val="00C827A1"/>
    <w:rsid w:val="00C83335"/>
    <w:rsid w:val="00C84B69"/>
    <w:rsid w:val="00C8509B"/>
    <w:rsid w:val="00C851D0"/>
    <w:rsid w:val="00C85206"/>
    <w:rsid w:val="00C85301"/>
    <w:rsid w:val="00C85634"/>
    <w:rsid w:val="00C9066E"/>
    <w:rsid w:val="00C935B2"/>
    <w:rsid w:val="00C935FC"/>
    <w:rsid w:val="00C95706"/>
    <w:rsid w:val="00C97A01"/>
    <w:rsid w:val="00CA035F"/>
    <w:rsid w:val="00CA0D07"/>
    <w:rsid w:val="00CA12E2"/>
    <w:rsid w:val="00CA3E51"/>
    <w:rsid w:val="00CA43C3"/>
    <w:rsid w:val="00CA5AE6"/>
    <w:rsid w:val="00CA5B50"/>
    <w:rsid w:val="00CA6BB5"/>
    <w:rsid w:val="00CA725A"/>
    <w:rsid w:val="00CB068A"/>
    <w:rsid w:val="00CB2F35"/>
    <w:rsid w:val="00CB3B07"/>
    <w:rsid w:val="00CB5BF4"/>
    <w:rsid w:val="00CB5F09"/>
    <w:rsid w:val="00CB75E3"/>
    <w:rsid w:val="00CB78CC"/>
    <w:rsid w:val="00CC06CE"/>
    <w:rsid w:val="00CC2A11"/>
    <w:rsid w:val="00CC3902"/>
    <w:rsid w:val="00CC51F0"/>
    <w:rsid w:val="00CC5989"/>
    <w:rsid w:val="00CD1D82"/>
    <w:rsid w:val="00CD2B0A"/>
    <w:rsid w:val="00CD3FEE"/>
    <w:rsid w:val="00CD511A"/>
    <w:rsid w:val="00CD7662"/>
    <w:rsid w:val="00CE0901"/>
    <w:rsid w:val="00CE1453"/>
    <w:rsid w:val="00CE3A0D"/>
    <w:rsid w:val="00CE765D"/>
    <w:rsid w:val="00CE7CA3"/>
    <w:rsid w:val="00CF2B12"/>
    <w:rsid w:val="00CF3AC5"/>
    <w:rsid w:val="00CF3B71"/>
    <w:rsid w:val="00CF456D"/>
    <w:rsid w:val="00CF46EA"/>
    <w:rsid w:val="00CF7B80"/>
    <w:rsid w:val="00D00181"/>
    <w:rsid w:val="00D017AB"/>
    <w:rsid w:val="00D01BE8"/>
    <w:rsid w:val="00D0370F"/>
    <w:rsid w:val="00D03A21"/>
    <w:rsid w:val="00D03D74"/>
    <w:rsid w:val="00D052DA"/>
    <w:rsid w:val="00D05752"/>
    <w:rsid w:val="00D05926"/>
    <w:rsid w:val="00D063F2"/>
    <w:rsid w:val="00D06836"/>
    <w:rsid w:val="00D07998"/>
    <w:rsid w:val="00D107B0"/>
    <w:rsid w:val="00D116F1"/>
    <w:rsid w:val="00D119D1"/>
    <w:rsid w:val="00D13AE7"/>
    <w:rsid w:val="00D1592C"/>
    <w:rsid w:val="00D16351"/>
    <w:rsid w:val="00D2171B"/>
    <w:rsid w:val="00D26684"/>
    <w:rsid w:val="00D2715C"/>
    <w:rsid w:val="00D30C71"/>
    <w:rsid w:val="00D324B3"/>
    <w:rsid w:val="00D34645"/>
    <w:rsid w:val="00D3711A"/>
    <w:rsid w:val="00D37E94"/>
    <w:rsid w:val="00D37F06"/>
    <w:rsid w:val="00D37FB4"/>
    <w:rsid w:val="00D40632"/>
    <w:rsid w:val="00D42186"/>
    <w:rsid w:val="00D4232E"/>
    <w:rsid w:val="00D42535"/>
    <w:rsid w:val="00D42FD0"/>
    <w:rsid w:val="00D4354D"/>
    <w:rsid w:val="00D44ADF"/>
    <w:rsid w:val="00D46285"/>
    <w:rsid w:val="00D5072C"/>
    <w:rsid w:val="00D539A2"/>
    <w:rsid w:val="00D552DC"/>
    <w:rsid w:val="00D62906"/>
    <w:rsid w:val="00D64FBC"/>
    <w:rsid w:val="00D6556C"/>
    <w:rsid w:val="00D6652A"/>
    <w:rsid w:val="00D711AA"/>
    <w:rsid w:val="00D7160E"/>
    <w:rsid w:val="00D71A48"/>
    <w:rsid w:val="00D73041"/>
    <w:rsid w:val="00D7313C"/>
    <w:rsid w:val="00D74041"/>
    <w:rsid w:val="00D75B97"/>
    <w:rsid w:val="00D80B30"/>
    <w:rsid w:val="00D81833"/>
    <w:rsid w:val="00D81934"/>
    <w:rsid w:val="00D838D8"/>
    <w:rsid w:val="00D86273"/>
    <w:rsid w:val="00D87075"/>
    <w:rsid w:val="00D908AB"/>
    <w:rsid w:val="00D911AC"/>
    <w:rsid w:val="00D92E94"/>
    <w:rsid w:val="00D945C9"/>
    <w:rsid w:val="00D94C3E"/>
    <w:rsid w:val="00D96D01"/>
    <w:rsid w:val="00DA1280"/>
    <w:rsid w:val="00DA1D11"/>
    <w:rsid w:val="00DA3E57"/>
    <w:rsid w:val="00DA62B5"/>
    <w:rsid w:val="00DA6F59"/>
    <w:rsid w:val="00DA74E5"/>
    <w:rsid w:val="00DB0A62"/>
    <w:rsid w:val="00DB429D"/>
    <w:rsid w:val="00DB6317"/>
    <w:rsid w:val="00DB7162"/>
    <w:rsid w:val="00DB734E"/>
    <w:rsid w:val="00DB7C74"/>
    <w:rsid w:val="00DC177D"/>
    <w:rsid w:val="00DC18DC"/>
    <w:rsid w:val="00DC4824"/>
    <w:rsid w:val="00DC5344"/>
    <w:rsid w:val="00DC5390"/>
    <w:rsid w:val="00DD1D18"/>
    <w:rsid w:val="00DD59F6"/>
    <w:rsid w:val="00DD5C74"/>
    <w:rsid w:val="00DE0060"/>
    <w:rsid w:val="00DE0D09"/>
    <w:rsid w:val="00DE122D"/>
    <w:rsid w:val="00DE1711"/>
    <w:rsid w:val="00DE2688"/>
    <w:rsid w:val="00DE2B25"/>
    <w:rsid w:val="00DE48B2"/>
    <w:rsid w:val="00DE5117"/>
    <w:rsid w:val="00DE7224"/>
    <w:rsid w:val="00DF0363"/>
    <w:rsid w:val="00DF0458"/>
    <w:rsid w:val="00DF0D66"/>
    <w:rsid w:val="00DF209D"/>
    <w:rsid w:val="00DF49E8"/>
    <w:rsid w:val="00DF49FD"/>
    <w:rsid w:val="00DF5955"/>
    <w:rsid w:val="00DF6147"/>
    <w:rsid w:val="00DF6A91"/>
    <w:rsid w:val="00E00DC9"/>
    <w:rsid w:val="00E04C48"/>
    <w:rsid w:val="00E05173"/>
    <w:rsid w:val="00E067B7"/>
    <w:rsid w:val="00E06A8C"/>
    <w:rsid w:val="00E07D81"/>
    <w:rsid w:val="00E07EB7"/>
    <w:rsid w:val="00E133FD"/>
    <w:rsid w:val="00E14764"/>
    <w:rsid w:val="00E14CFA"/>
    <w:rsid w:val="00E161DD"/>
    <w:rsid w:val="00E16943"/>
    <w:rsid w:val="00E1733E"/>
    <w:rsid w:val="00E17E08"/>
    <w:rsid w:val="00E20ABD"/>
    <w:rsid w:val="00E20D02"/>
    <w:rsid w:val="00E21C5D"/>
    <w:rsid w:val="00E22FD9"/>
    <w:rsid w:val="00E23ECA"/>
    <w:rsid w:val="00E243C1"/>
    <w:rsid w:val="00E24B3F"/>
    <w:rsid w:val="00E252D7"/>
    <w:rsid w:val="00E268AB"/>
    <w:rsid w:val="00E27591"/>
    <w:rsid w:val="00E27D1A"/>
    <w:rsid w:val="00E36AB0"/>
    <w:rsid w:val="00E3767D"/>
    <w:rsid w:val="00E37A13"/>
    <w:rsid w:val="00E40579"/>
    <w:rsid w:val="00E405A0"/>
    <w:rsid w:val="00E41DE9"/>
    <w:rsid w:val="00E43431"/>
    <w:rsid w:val="00E436D6"/>
    <w:rsid w:val="00E5153E"/>
    <w:rsid w:val="00E54D3E"/>
    <w:rsid w:val="00E56518"/>
    <w:rsid w:val="00E568AE"/>
    <w:rsid w:val="00E57001"/>
    <w:rsid w:val="00E57874"/>
    <w:rsid w:val="00E57A03"/>
    <w:rsid w:val="00E63806"/>
    <w:rsid w:val="00E64969"/>
    <w:rsid w:val="00E64ABE"/>
    <w:rsid w:val="00E6624D"/>
    <w:rsid w:val="00E6676B"/>
    <w:rsid w:val="00E7034A"/>
    <w:rsid w:val="00E72529"/>
    <w:rsid w:val="00E7286F"/>
    <w:rsid w:val="00E745AC"/>
    <w:rsid w:val="00E77173"/>
    <w:rsid w:val="00E77286"/>
    <w:rsid w:val="00E77CF3"/>
    <w:rsid w:val="00E80278"/>
    <w:rsid w:val="00E824C0"/>
    <w:rsid w:val="00E83AB9"/>
    <w:rsid w:val="00E85645"/>
    <w:rsid w:val="00E85D50"/>
    <w:rsid w:val="00E86AB3"/>
    <w:rsid w:val="00E87255"/>
    <w:rsid w:val="00E90F7D"/>
    <w:rsid w:val="00E9224F"/>
    <w:rsid w:val="00E93CC6"/>
    <w:rsid w:val="00E94B5A"/>
    <w:rsid w:val="00E967E1"/>
    <w:rsid w:val="00E9782C"/>
    <w:rsid w:val="00E97EB3"/>
    <w:rsid w:val="00EA0889"/>
    <w:rsid w:val="00EA11E2"/>
    <w:rsid w:val="00EB458E"/>
    <w:rsid w:val="00EB6E05"/>
    <w:rsid w:val="00EB70F4"/>
    <w:rsid w:val="00EC291A"/>
    <w:rsid w:val="00EC3DAC"/>
    <w:rsid w:val="00EC3E70"/>
    <w:rsid w:val="00EC587E"/>
    <w:rsid w:val="00EC5DF5"/>
    <w:rsid w:val="00EC61FE"/>
    <w:rsid w:val="00EC676A"/>
    <w:rsid w:val="00EC7452"/>
    <w:rsid w:val="00ED10F2"/>
    <w:rsid w:val="00ED194E"/>
    <w:rsid w:val="00ED30A8"/>
    <w:rsid w:val="00ED3E63"/>
    <w:rsid w:val="00ED596C"/>
    <w:rsid w:val="00ED5CA8"/>
    <w:rsid w:val="00EE04E2"/>
    <w:rsid w:val="00EE053F"/>
    <w:rsid w:val="00EE07CB"/>
    <w:rsid w:val="00EE0831"/>
    <w:rsid w:val="00EE5336"/>
    <w:rsid w:val="00EE5DA0"/>
    <w:rsid w:val="00EE6462"/>
    <w:rsid w:val="00EE7EC2"/>
    <w:rsid w:val="00EF1CD8"/>
    <w:rsid w:val="00EF2B10"/>
    <w:rsid w:val="00EF35B1"/>
    <w:rsid w:val="00EF3737"/>
    <w:rsid w:val="00EF6547"/>
    <w:rsid w:val="00EF70D7"/>
    <w:rsid w:val="00F04362"/>
    <w:rsid w:val="00F074DB"/>
    <w:rsid w:val="00F07828"/>
    <w:rsid w:val="00F0783D"/>
    <w:rsid w:val="00F12FD7"/>
    <w:rsid w:val="00F1332D"/>
    <w:rsid w:val="00F211E2"/>
    <w:rsid w:val="00F2263F"/>
    <w:rsid w:val="00F22C5B"/>
    <w:rsid w:val="00F22EF5"/>
    <w:rsid w:val="00F2562F"/>
    <w:rsid w:val="00F3098A"/>
    <w:rsid w:val="00F30A53"/>
    <w:rsid w:val="00F32EFE"/>
    <w:rsid w:val="00F32F25"/>
    <w:rsid w:val="00F3514B"/>
    <w:rsid w:val="00F40E15"/>
    <w:rsid w:val="00F413EF"/>
    <w:rsid w:val="00F47F69"/>
    <w:rsid w:val="00F5204D"/>
    <w:rsid w:val="00F54CDB"/>
    <w:rsid w:val="00F55520"/>
    <w:rsid w:val="00F56F75"/>
    <w:rsid w:val="00F60611"/>
    <w:rsid w:val="00F60AE2"/>
    <w:rsid w:val="00F619DB"/>
    <w:rsid w:val="00F61E5D"/>
    <w:rsid w:val="00F64CB2"/>
    <w:rsid w:val="00F702B5"/>
    <w:rsid w:val="00F70336"/>
    <w:rsid w:val="00F71460"/>
    <w:rsid w:val="00F737C3"/>
    <w:rsid w:val="00F74878"/>
    <w:rsid w:val="00F74AF9"/>
    <w:rsid w:val="00F75701"/>
    <w:rsid w:val="00F776DC"/>
    <w:rsid w:val="00F801C2"/>
    <w:rsid w:val="00F80594"/>
    <w:rsid w:val="00F80BF4"/>
    <w:rsid w:val="00F8304F"/>
    <w:rsid w:val="00F84534"/>
    <w:rsid w:val="00F84B87"/>
    <w:rsid w:val="00F85CF1"/>
    <w:rsid w:val="00F86A22"/>
    <w:rsid w:val="00F92055"/>
    <w:rsid w:val="00F922A8"/>
    <w:rsid w:val="00F9280F"/>
    <w:rsid w:val="00F96BFE"/>
    <w:rsid w:val="00F970AB"/>
    <w:rsid w:val="00F977A8"/>
    <w:rsid w:val="00FA0D5E"/>
    <w:rsid w:val="00FA5B7D"/>
    <w:rsid w:val="00FA6A11"/>
    <w:rsid w:val="00FA784A"/>
    <w:rsid w:val="00FA7AF2"/>
    <w:rsid w:val="00FB064C"/>
    <w:rsid w:val="00FB1725"/>
    <w:rsid w:val="00FB47C1"/>
    <w:rsid w:val="00FB4A19"/>
    <w:rsid w:val="00FB4F89"/>
    <w:rsid w:val="00FB512F"/>
    <w:rsid w:val="00FB54FC"/>
    <w:rsid w:val="00FB5643"/>
    <w:rsid w:val="00FB6458"/>
    <w:rsid w:val="00FB6D12"/>
    <w:rsid w:val="00FC01BD"/>
    <w:rsid w:val="00FC067A"/>
    <w:rsid w:val="00FC183A"/>
    <w:rsid w:val="00FC2A78"/>
    <w:rsid w:val="00FC30A7"/>
    <w:rsid w:val="00FC348D"/>
    <w:rsid w:val="00FC6FBA"/>
    <w:rsid w:val="00FC75C8"/>
    <w:rsid w:val="00FC78B5"/>
    <w:rsid w:val="00FD0C83"/>
    <w:rsid w:val="00FD2044"/>
    <w:rsid w:val="00FD2AE8"/>
    <w:rsid w:val="00FD5704"/>
    <w:rsid w:val="00FD697F"/>
    <w:rsid w:val="00FD7073"/>
    <w:rsid w:val="00FE032C"/>
    <w:rsid w:val="00FE0375"/>
    <w:rsid w:val="00FE1261"/>
    <w:rsid w:val="00FE335B"/>
    <w:rsid w:val="00FE5782"/>
    <w:rsid w:val="00FE6812"/>
    <w:rsid w:val="00FE6D26"/>
    <w:rsid w:val="00FF39CB"/>
    <w:rsid w:val="00FF3CB5"/>
    <w:rsid w:val="00FF4D65"/>
    <w:rsid w:val="00FF6B70"/>
    <w:rsid w:val="76599C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CB42"/>
  <w15:chartTrackingRefBased/>
  <w15:docId w15:val="{DD3FBDAE-98BD-4767-89A8-CB10C2D6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5B1"/>
    <w:pPr>
      <w:keepNext/>
      <w:keepLines/>
      <w:spacing w:before="240" w:after="0"/>
      <w:outlineLvl w:val="0"/>
    </w:pPr>
    <w:rPr>
      <w:rFonts w:asciiTheme="majorHAnsi" w:eastAsiaTheme="majorEastAsia" w:hAnsiTheme="majorHAnsi" w:cstheme="majorBidi"/>
      <w:color w:val="C21610" w:themeColor="accent1" w:themeShade="BF"/>
      <w:sz w:val="32"/>
      <w:szCs w:val="32"/>
    </w:rPr>
  </w:style>
  <w:style w:type="paragraph" w:styleId="Heading2">
    <w:name w:val="heading 2"/>
    <w:basedOn w:val="Normal"/>
    <w:next w:val="Normal"/>
    <w:link w:val="Heading2Char"/>
    <w:uiPriority w:val="9"/>
    <w:unhideWhenUsed/>
    <w:qFormat/>
    <w:rsid w:val="00D838D8"/>
    <w:pPr>
      <w:keepNext/>
      <w:keepLines/>
      <w:spacing w:before="40" w:after="0"/>
      <w:outlineLvl w:val="1"/>
    </w:pPr>
    <w:rPr>
      <w:rFonts w:asciiTheme="majorHAnsi" w:eastAsiaTheme="majorEastAsia" w:hAnsiTheme="majorHAnsi" w:cstheme="majorBidi"/>
      <w:color w:val="C21610" w:themeColor="accent1" w:themeShade="BF"/>
      <w:sz w:val="26"/>
      <w:szCs w:val="26"/>
    </w:rPr>
  </w:style>
  <w:style w:type="paragraph" w:styleId="Heading3">
    <w:name w:val="heading 3"/>
    <w:basedOn w:val="Normal"/>
    <w:next w:val="Normal"/>
    <w:link w:val="Heading3Char"/>
    <w:uiPriority w:val="9"/>
    <w:unhideWhenUsed/>
    <w:qFormat/>
    <w:rsid w:val="00266481"/>
    <w:pPr>
      <w:keepNext/>
      <w:keepLines/>
      <w:spacing w:before="40" w:after="0"/>
      <w:outlineLvl w:val="2"/>
    </w:pPr>
    <w:rPr>
      <w:rFonts w:asciiTheme="majorHAnsi" w:eastAsiaTheme="majorEastAsia" w:hAnsiTheme="majorHAnsi" w:cstheme="majorBidi"/>
      <w:color w:val="810F0B" w:themeColor="accent1" w:themeShade="7F"/>
      <w:sz w:val="24"/>
      <w:szCs w:val="24"/>
    </w:rPr>
  </w:style>
  <w:style w:type="paragraph" w:styleId="Heading4">
    <w:name w:val="heading 4"/>
    <w:basedOn w:val="Normal"/>
    <w:next w:val="Normal"/>
    <w:link w:val="Heading4Char"/>
    <w:uiPriority w:val="9"/>
    <w:unhideWhenUsed/>
    <w:qFormat/>
    <w:rsid w:val="00D42535"/>
    <w:pPr>
      <w:keepNext/>
      <w:keepLines/>
      <w:spacing w:before="40" w:after="0"/>
      <w:outlineLvl w:val="3"/>
    </w:pPr>
    <w:rPr>
      <w:rFonts w:asciiTheme="majorHAnsi" w:eastAsiaTheme="majorEastAsia" w:hAnsiTheme="majorHAnsi" w:cstheme="majorBidi"/>
      <w:i/>
      <w:iCs/>
      <w:color w:val="C216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B1"/>
    <w:rPr>
      <w:rFonts w:asciiTheme="majorHAnsi" w:eastAsiaTheme="majorEastAsia" w:hAnsiTheme="majorHAnsi" w:cstheme="majorBidi"/>
      <w:color w:val="C21610" w:themeColor="accent1" w:themeShade="BF"/>
      <w:sz w:val="32"/>
      <w:szCs w:val="32"/>
    </w:rPr>
  </w:style>
  <w:style w:type="paragraph" w:styleId="ListParagraph">
    <w:name w:val="List Paragraph"/>
    <w:basedOn w:val="Normal"/>
    <w:uiPriority w:val="34"/>
    <w:qFormat/>
    <w:rsid w:val="00EF35B1"/>
    <w:pPr>
      <w:ind w:left="720"/>
      <w:contextualSpacing/>
    </w:pPr>
  </w:style>
  <w:style w:type="character" w:styleId="CommentReference">
    <w:name w:val="annotation reference"/>
    <w:basedOn w:val="DefaultParagraphFont"/>
    <w:uiPriority w:val="99"/>
    <w:semiHidden/>
    <w:unhideWhenUsed/>
    <w:rsid w:val="008918B9"/>
    <w:rPr>
      <w:sz w:val="16"/>
      <w:szCs w:val="16"/>
    </w:rPr>
  </w:style>
  <w:style w:type="paragraph" w:styleId="CommentText">
    <w:name w:val="annotation text"/>
    <w:basedOn w:val="Normal"/>
    <w:link w:val="CommentTextChar"/>
    <w:uiPriority w:val="99"/>
    <w:unhideWhenUsed/>
    <w:rsid w:val="008918B9"/>
    <w:pPr>
      <w:spacing w:line="240" w:lineRule="auto"/>
      <w:jc w:val="both"/>
    </w:pPr>
    <w:rPr>
      <w:kern w:val="0"/>
      <w:sz w:val="20"/>
      <w:szCs w:val="20"/>
      <w14:ligatures w14:val="none"/>
    </w:rPr>
  </w:style>
  <w:style w:type="character" w:customStyle="1" w:styleId="CommentTextChar">
    <w:name w:val="Comment Text Char"/>
    <w:basedOn w:val="DefaultParagraphFont"/>
    <w:link w:val="CommentText"/>
    <w:uiPriority w:val="99"/>
    <w:rsid w:val="008918B9"/>
    <w:rPr>
      <w:kern w:val="0"/>
      <w:sz w:val="20"/>
      <w:szCs w:val="20"/>
      <w14:ligatures w14:val="none"/>
    </w:rPr>
  </w:style>
  <w:style w:type="character" w:styleId="FootnoteReference">
    <w:name w:val="footnote reference"/>
    <w:aliases w:val="ftref,(NECG) Footnote Reference,Ref,de nota al pie,BVI fnr,16 Point,Superscript 6 Point,16 Point1,Superscript 6 Point1,ftref1,16 Point2,Superscript 6 Point2,ftref2,16 Point3,Superscript 6 Point3,ftref3,FO,footnote ref,Знак сноски-FN,R"/>
    <w:basedOn w:val="DefaultParagraphFont"/>
    <w:link w:val="BVIfnrCarCar"/>
    <w:uiPriority w:val="99"/>
    <w:unhideWhenUsed/>
    <w:qFormat/>
    <w:rsid w:val="008918B9"/>
    <w:rPr>
      <w:vertAlign w:val="superscript"/>
    </w:rPr>
  </w:style>
  <w:style w:type="paragraph" w:customStyle="1" w:styleId="BVIfnrCarCar">
    <w:name w:val="BVI fnr Car Car"/>
    <w:aliases w:val="BVI fnr Car,BVI fnr Car Car Car Car,BVI fnr Car Car Car Car Char Car Char Char"/>
    <w:basedOn w:val="Normal"/>
    <w:link w:val="FootnoteReference"/>
    <w:autoRedefine/>
    <w:uiPriority w:val="99"/>
    <w:rsid w:val="008918B9"/>
    <w:pPr>
      <w:widowControl w:val="0"/>
      <w:spacing w:after="0" w:line="240" w:lineRule="auto"/>
      <w:jc w:val="both"/>
    </w:pPr>
    <w:rPr>
      <w:vertAlign w:val="superscript"/>
    </w:rPr>
  </w:style>
  <w:style w:type="paragraph" w:styleId="Header">
    <w:name w:val="header"/>
    <w:basedOn w:val="Normal"/>
    <w:link w:val="HeaderChar"/>
    <w:uiPriority w:val="99"/>
    <w:semiHidden/>
    <w:unhideWhenUsed/>
    <w:rsid w:val="00D324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24B3"/>
  </w:style>
  <w:style w:type="paragraph" w:styleId="Footer">
    <w:name w:val="footer"/>
    <w:basedOn w:val="Normal"/>
    <w:link w:val="FooterChar"/>
    <w:uiPriority w:val="99"/>
    <w:semiHidden/>
    <w:unhideWhenUsed/>
    <w:rsid w:val="00D324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24B3"/>
  </w:style>
  <w:style w:type="character" w:customStyle="1" w:styleId="Heading2Char">
    <w:name w:val="Heading 2 Char"/>
    <w:basedOn w:val="DefaultParagraphFont"/>
    <w:link w:val="Heading2"/>
    <w:uiPriority w:val="9"/>
    <w:rsid w:val="00D838D8"/>
    <w:rPr>
      <w:rFonts w:asciiTheme="majorHAnsi" w:eastAsiaTheme="majorEastAsia" w:hAnsiTheme="majorHAnsi" w:cstheme="majorBidi"/>
      <w:color w:val="C21610"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03933"/>
    <w:pPr>
      <w:jc w:val="left"/>
    </w:pPr>
    <w:rPr>
      <w:b/>
      <w:bCs/>
      <w:kern w:val="2"/>
      <w14:ligatures w14:val="standardContextual"/>
    </w:rPr>
  </w:style>
  <w:style w:type="character" w:customStyle="1" w:styleId="CommentSubjectChar">
    <w:name w:val="Comment Subject Char"/>
    <w:basedOn w:val="CommentTextChar"/>
    <w:link w:val="CommentSubject"/>
    <w:uiPriority w:val="99"/>
    <w:semiHidden/>
    <w:rsid w:val="00103933"/>
    <w:rPr>
      <w:b/>
      <w:bCs/>
      <w:kern w:val="0"/>
      <w:sz w:val="20"/>
      <w:szCs w:val="20"/>
      <w14:ligatures w14:val="none"/>
    </w:rPr>
  </w:style>
  <w:style w:type="character" w:customStyle="1" w:styleId="Heading3Char">
    <w:name w:val="Heading 3 Char"/>
    <w:basedOn w:val="DefaultParagraphFont"/>
    <w:link w:val="Heading3"/>
    <w:uiPriority w:val="9"/>
    <w:rsid w:val="00266481"/>
    <w:rPr>
      <w:rFonts w:asciiTheme="majorHAnsi" w:eastAsiaTheme="majorEastAsia" w:hAnsiTheme="majorHAnsi" w:cstheme="majorBidi"/>
      <w:color w:val="810F0B" w:themeColor="accent1" w:themeShade="7F"/>
      <w:sz w:val="24"/>
      <w:szCs w:val="24"/>
    </w:rPr>
  </w:style>
  <w:style w:type="paragraph" w:styleId="Revision">
    <w:name w:val="Revision"/>
    <w:hidden/>
    <w:uiPriority w:val="99"/>
    <w:semiHidden/>
    <w:rsid w:val="006F5F13"/>
    <w:pPr>
      <w:spacing w:after="0" w:line="240" w:lineRule="auto"/>
    </w:pPr>
  </w:style>
  <w:style w:type="paragraph" w:customStyle="1" w:styleId="pf0">
    <w:name w:val="pf0"/>
    <w:basedOn w:val="Normal"/>
    <w:rsid w:val="008053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805320"/>
    <w:rPr>
      <w:rFonts w:ascii="Segoe UI" w:hAnsi="Segoe UI" w:cs="Segoe UI" w:hint="default"/>
      <w:sz w:val="18"/>
      <w:szCs w:val="18"/>
    </w:rPr>
  </w:style>
  <w:style w:type="table" w:styleId="TableGrid">
    <w:name w:val="Table Grid"/>
    <w:basedOn w:val="TableNormal"/>
    <w:uiPriority w:val="39"/>
    <w:rsid w:val="005C7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Quote,ft,single space,FOOTNOTES,fn,Footnote Text Char1,Footnote Text Char2 Char,Footnote Text Char1 Char Char,Footnote Text Char2 Char Char Char,Footnote Text Char1 Char Char Char Char,Char Char Char,footnote text,Char,text,f"/>
    <w:basedOn w:val="Normal"/>
    <w:link w:val="FootnoteTextChar"/>
    <w:uiPriority w:val="99"/>
    <w:unhideWhenUsed/>
    <w:rsid w:val="005C7EC1"/>
    <w:pPr>
      <w:spacing w:after="0" w:line="240" w:lineRule="auto"/>
    </w:pPr>
    <w:rPr>
      <w:sz w:val="20"/>
      <w:szCs w:val="20"/>
    </w:rPr>
  </w:style>
  <w:style w:type="character" w:customStyle="1" w:styleId="FootnoteTextChar">
    <w:name w:val="Footnote Text Char"/>
    <w:aliases w:val="Footnote Text Quote Char,ft Char,single space Char,FOOTNOTES Char,fn Char,Footnote Text Char1 Char,Footnote Text Char2 Char Char,Footnote Text Char1 Char Char Char,Footnote Text Char2 Char Char Char Char,Char Char Char Char,Char Char"/>
    <w:basedOn w:val="DefaultParagraphFont"/>
    <w:link w:val="FootnoteText"/>
    <w:uiPriority w:val="99"/>
    <w:rsid w:val="005C7EC1"/>
    <w:rPr>
      <w:sz w:val="20"/>
      <w:szCs w:val="20"/>
    </w:rPr>
  </w:style>
  <w:style w:type="paragraph" w:styleId="Bibliography">
    <w:name w:val="Bibliography"/>
    <w:basedOn w:val="Normal"/>
    <w:next w:val="Normal"/>
    <w:uiPriority w:val="37"/>
    <w:unhideWhenUsed/>
    <w:rsid w:val="00603D2E"/>
    <w:pPr>
      <w:spacing w:after="0" w:line="240" w:lineRule="auto"/>
      <w:ind w:left="720" w:hanging="720"/>
    </w:pPr>
  </w:style>
  <w:style w:type="character" w:customStyle="1" w:styleId="Heading4Char">
    <w:name w:val="Heading 4 Char"/>
    <w:basedOn w:val="DefaultParagraphFont"/>
    <w:link w:val="Heading4"/>
    <w:uiPriority w:val="9"/>
    <w:rsid w:val="00D42535"/>
    <w:rPr>
      <w:rFonts w:asciiTheme="majorHAnsi" w:eastAsiaTheme="majorEastAsia" w:hAnsiTheme="majorHAnsi" w:cstheme="majorBidi"/>
      <w:i/>
      <w:iCs/>
      <w:color w:val="C21610" w:themeColor="accent1" w:themeShade="BF"/>
    </w:rPr>
  </w:style>
  <w:style w:type="paragraph" w:styleId="NormalWeb">
    <w:name w:val="Normal (Web)"/>
    <w:basedOn w:val="Normal"/>
    <w:uiPriority w:val="99"/>
    <w:unhideWhenUsed/>
    <w:rsid w:val="00DE2B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1FBC"/>
    <w:rPr>
      <w:color w:val="006B7E" w:themeColor="hyperlink"/>
      <w:u w:val="single"/>
    </w:rPr>
  </w:style>
  <w:style w:type="character" w:styleId="UnresolvedMention">
    <w:name w:val="Unresolved Mention"/>
    <w:basedOn w:val="DefaultParagraphFont"/>
    <w:uiPriority w:val="99"/>
    <w:semiHidden/>
    <w:unhideWhenUsed/>
    <w:rsid w:val="0050733E"/>
    <w:rPr>
      <w:color w:val="605E5C"/>
      <w:shd w:val="clear" w:color="auto" w:fill="E1DFDD"/>
    </w:rPr>
  </w:style>
  <w:style w:type="character" w:styleId="EndnoteReference">
    <w:name w:val="endnote reference"/>
    <w:basedOn w:val="DefaultParagraphFont"/>
    <w:uiPriority w:val="99"/>
    <w:semiHidden/>
    <w:unhideWhenUsed/>
    <w:rsid w:val="00862896"/>
    <w:rPr>
      <w:vertAlign w:val="superscript"/>
    </w:rPr>
  </w:style>
  <w:style w:type="character" w:styleId="Mention">
    <w:name w:val="Mention"/>
    <w:basedOn w:val="DefaultParagraphFont"/>
    <w:uiPriority w:val="99"/>
    <w:unhideWhenUsed/>
    <w:rsid w:val="00C177B1"/>
    <w:rPr>
      <w:color w:val="2B579A"/>
      <w:shd w:val="clear" w:color="auto" w:fill="E1DFDD"/>
    </w:rPr>
  </w:style>
  <w:style w:type="paragraph" w:styleId="Title">
    <w:name w:val="Title"/>
    <w:basedOn w:val="Normal"/>
    <w:next w:val="Normal"/>
    <w:link w:val="TitleChar"/>
    <w:uiPriority w:val="10"/>
    <w:qFormat/>
    <w:rsid w:val="000A2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5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7463">
      <w:bodyDiv w:val="1"/>
      <w:marLeft w:val="0"/>
      <w:marRight w:val="0"/>
      <w:marTop w:val="0"/>
      <w:marBottom w:val="0"/>
      <w:divBdr>
        <w:top w:val="none" w:sz="0" w:space="0" w:color="auto"/>
        <w:left w:val="none" w:sz="0" w:space="0" w:color="auto"/>
        <w:bottom w:val="none" w:sz="0" w:space="0" w:color="auto"/>
        <w:right w:val="none" w:sz="0" w:space="0" w:color="auto"/>
      </w:divBdr>
    </w:div>
    <w:div w:id="201865963">
      <w:bodyDiv w:val="1"/>
      <w:marLeft w:val="0"/>
      <w:marRight w:val="0"/>
      <w:marTop w:val="0"/>
      <w:marBottom w:val="0"/>
      <w:divBdr>
        <w:top w:val="none" w:sz="0" w:space="0" w:color="auto"/>
        <w:left w:val="none" w:sz="0" w:space="0" w:color="auto"/>
        <w:bottom w:val="none" w:sz="0" w:space="0" w:color="auto"/>
        <w:right w:val="none" w:sz="0" w:space="0" w:color="auto"/>
      </w:divBdr>
    </w:div>
    <w:div w:id="704479120">
      <w:bodyDiv w:val="1"/>
      <w:marLeft w:val="0"/>
      <w:marRight w:val="0"/>
      <w:marTop w:val="0"/>
      <w:marBottom w:val="0"/>
      <w:divBdr>
        <w:top w:val="none" w:sz="0" w:space="0" w:color="auto"/>
        <w:left w:val="none" w:sz="0" w:space="0" w:color="auto"/>
        <w:bottom w:val="none" w:sz="0" w:space="0" w:color="auto"/>
        <w:right w:val="none" w:sz="0" w:space="0" w:color="auto"/>
      </w:divBdr>
    </w:div>
    <w:div w:id="844593888">
      <w:bodyDiv w:val="1"/>
      <w:marLeft w:val="0"/>
      <w:marRight w:val="0"/>
      <w:marTop w:val="0"/>
      <w:marBottom w:val="0"/>
      <w:divBdr>
        <w:top w:val="none" w:sz="0" w:space="0" w:color="auto"/>
        <w:left w:val="none" w:sz="0" w:space="0" w:color="auto"/>
        <w:bottom w:val="none" w:sz="0" w:space="0" w:color="auto"/>
        <w:right w:val="none" w:sz="0" w:space="0" w:color="auto"/>
      </w:divBdr>
    </w:div>
    <w:div w:id="1156266891">
      <w:bodyDiv w:val="1"/>
      <w:marLeft w:val="0"/>
      <w:marRight w:val="0"/>
      <w:marTop w:val="0"/>
      <w:marBottom w:val="0"/>
      <w:divBdr>
        <w:top w:val="none" w:sz="0" w:space="0" w:color="auto"/>
        <w:left w:val="none" w:sz="0" w:space="0" w:color="auto"/>
        <w:bottom w:val="none" w:sz="0" w:space="0" w:color="auto"/>
        <w:right w:val="none" w:sz="0" w:space="0" w:color="auto"/>
      </w:divBdr>
    </w:div>
    <w:div w:id="1717896237">
      <w:bodyDiv w:val="1"/>
      <w:marLeft w:val="0"/>
      <w:marRight w:val="0"/>
      <w:marTop w:val="0"/>
      <w:marBottom w:val="0"/>
      <w:divBdr>
        <w:top w:val="none" w:sz="0" w:space="0" w:color="auto"/>
        <w:left w:val="none" w:sz="0" w:space="0" w:color="auto"/>
        <w:bottom w:val="none" w:sz="0" w:space="0" w:color="auto"/>
        <w:right w:val="none" w:sz="0" w:space="0" w:color="auto"/>
      </w:divBdr>
    </w:div>
    <w:div w:id="17862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id.world/transparency/" TargetMode="External"/><Relationship Id="rId2" Type="http://schemas.openxmlformats.org/officeDocument/2006/relationships/hyperlink" Target="https://documents1.worldbank.org/curated/en/099549506102441825/pdf/IDU1bd155bac16d78143af188331f87564a9d6c8.pdf" TargetMode="External"/><Relationship Id="rId1" Type="http://schemas.openxmlformats.org/officeDocument/2006/relationships/hyperlink" Target="https://www.epa.gov/climate-indicators/greenhouse-gase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cid:image002.png@01DABDBC.D362F4B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edgar.jrc.ec.europa.eu/methodology" TargetMode="External"/><Relationship Id="rId2" Type="http://schemas.openxmlformats.org/officeDocument/2006/relationships/hyperlink" Target="https://unstats.un.org/unsd/statcom/53rd-session/documents/BG-3a-Position-Household-Survey-for-Next-Decade-E.pdf" TargetMode="External"/><Relationship Id="rId1" Type="http://schemas.openxmlformats.org/officeDocument/2006/relationships/hyperlink" Target="https://documents1.worldbank.org/curated/en/099121223173511026/pdf/BOSIB1ab32eaff0051a2191da7db5542842.pdf"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areaChart>
        <c:grouping val="stacked"/>
        <c:varyColors val="0"/>
        <c:ser>
          <c:idx val="11"/>
          <c:order val="10"/>
          <c:spPr>
            <a:noFill/>
            <a:ln>
              <a:noFill/>
            </a:ln>
            <a:effectLst/>
          </c:spPr>
          <c:val>
            <c:numRef>
              <c:f>'fig1'!$D$3:$D$18</c:f>
              <c:numCache>
                <c:formatCode>0</c:formatCode>
                <c:ptCount val="16"/>
                <c:pt idx="0">
                  <c:v>17510.412109375</c:v>
                </c:pt>
                <c:pt idx="1">
                  <c:v>17955.36328125</c:v>
                </c:pt>
                <c:pt idx="2">
                  <c:v>18686.22265625</c:v>
                </c:pt>
                <c:pt idx="3">
                  <c:v>19315.896484375</c:v>
                </c:pt>
                <c:pt idx="4">
                  <c:v>20228.365234375</c:v>
                </c:pt>
                <c:pt idx="5">
                  <c:v>20986.625</c:v>
                </c:pt>
                <c:pt idx="6">
                  <c:v>21629.658203125</c:v>
                </c:pt>
                <c:pt idx="7">
                  <c:v>22079.01953125</c:v>
                </c:pt>
                <c:pt idx="8">
                  <c:v>22666.49609375</c:v>
                </c:pt>
                <c:pt idx="9">
                  <c:v>23134.2734375</c:v>
                </c:pt>
                <c:pt idx="10">
                  <c:v>23420.466796875</c:v>
                </c:pt>
                <c:pt idx="11">
                  <c:v>23594.45703125</c:v>
                </c:pt>
                <c:pt idx="12">
                  <c:v>23738.494140625</c:v>
                </c:pt>
                <c:pt idx="13">
                  <c:v>23897.654296875</c:v>
                </c:pt>
                <c:pt idx="14">
                  <c:v>24103.228515625</c:v>
                </c:pt>
                <c:pt idx="15">
                  <c:v>24328.078125</c:v>
                </c:pt>
              </c:numCache>
            </c:numRef>
          </c:val>
          <c:extLst>
            <c:ext xmlns:c16="http://schemas.microsoft.com/office/drawing/2014/chart" uri="{C3380CC4-5D6E-409C-BE32-E72D297353CC}">
              <c16:uniqueId val="{00000000-C7BF-4591-A6D2-2C5DF40C77F2}"/>
            </c:ext>
          </c:extLst>
        </c:ser>
        <c:ser>
          <c:idx val="10"/>
          <c:order val="11"/>
          <c:spPr>
            <a:solidFill>
              <a:schemeClr val="accent6">
                <a:alpha val="50000"/>
              </a:schemeClr>
            </a:solidFill>
            <a:ln>
              <a:noFill/>
            </a:ln>
            <a:effectLst/>
          </c:spPr>
          <c:val>
            <c:numRef>
              <c:f>'fig1'!$L$3:$L$18</c:f>
              <c:numCache>
                <c:formatCode>0</c:formatCode>
                <c:ptCount val="16"/>
                <c:pt idx="0">
                  <c:v>858.69921875</c:v>
                </c:pt>
                <c:pt idx="1">
                  <c:v>2836.6171875</c:v>
                </c:pt>
                <c:pt idx="2">
                  <c:v>5431.880859375</c:v>
                </c:pt>
                <c:pt idx="3">
                  <c:v>9066.94140625</c:v>
                </c:pt>
                <c:pt idx="4">
                  <c:v>13175.033203125</c:v>
                </c:pt>
                <c:pt idx="5">
                  <c:v>17732.359375</c:v>
                </c:pt>
                <c:pt idx="6">
                  <c:v>22838.099609375</c:v>
                </c:pt>
                <c:pt idx="7">
                  <c:v>28879.39453125</c:v>
                </c:pt>
                <c:pt idx="8">
                  <c:v>35630.34375</c:v>
                </c:pt>
                <c:pt idx="9">
                  <c:v>43191.875</c:v>
                </c:pt>
                <c:pt idx="10">
                  <c:v>51631.072265625</c:v>
                </c:pt>
                <c:pt idx="11">
                  <c:v>60915.77734375</c:v>
                </c:pt>
                <c:pt idx="12">
                  <c:v>71058.373046875</c:v>
                </c:pt>
                <c:pt idx="13">
                  <c:v>82136.384765625</c:v>
                </c:pt>
                <c:pt idx="14">
                  <c:v>94218.701171875</c:v>
                </c:pt>
                <c:pt idx="15">
                  <c:v>107404.515625</c:v>
                </c:pt>
              </c:numCache>
            </c:numRef>
          </c:val>
          <c:extLst>
            <c:ext xmlns:c16="http://schemas.microsoft.com/office/drawing/2014/chart" uri="{C3380CC4-5D6E-409C-BE32-E72D297353CC}">
              <c16:uniqueId val="{00000001-C7BF-4591-A6D2-2C5DF40C77F2}"/>
            </c:ext>
          </c:extLst>
        </c:ser>
        <c:dLbls>
          <c:showLegendKey val="0"/>
          <c:showVal val="0"/>
          <c:showCatName val="0"/>
          <c:showSerName val="0"/>
          <c:showPercent val="0"/>
          <c:showBubbleSize val="0"/>
        </c:dLbls>
        <c:axId val="1167137344"/>
        <c:axId val="890928112"/>
      </c:areaChart>
      <c:lineChart>
        <c:grouping val="standard"/>
        <c:varyColors val="0"/>
        <c:ser>
          <c:idx val="0"/>
          <c:order val="0"/>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'fig1'!$B$3:$B$18</c:f>
              <c:numCache>
                <c:formatCode>0</c:formatCode>
                <c:ptCount val="16"/>
                <c:pt idx="0">
                  <c:v>17618.775390625</c:v>
                </c:pt>
                <c:pt idx="1">
                  <c:v>18264.091796875</c:v>
                </c:pt>
                <c:pt idx="2">
                  <c:v>19960.6171875</c:v>
                </c:pt>
                <c:pt idx="3">
                  <c:v>21941.984375</c:v>
                </c:pt>
                <c:pt idx="4">
                  <c:v>24585.080078125</c:v>
                </c:pt>
                <c:pt idx="5">
                  <c:v>27495.6484375</c:v>
                </c:pt>
                <c:pt idx="6">
                  <c:v>30652.56640625</c:v>
                </c:pt>
                <c:pt idx="7">
                  <c:v>33757.91015625</c:v>
                </c:pt>
                <c:pt idx="8">
                  <c:v>37640.5546875</c:v>
                </c:pt>
                <c:pt idx="9">
                  <c:v>41569.6875</c:v>
                </c:pt>
                <c:pt idx="10">
                  <c:v>45248.78125</c:v>
                </c:pt>
                <c:pt idx="11">
                  <c:v>48579.84375</c:v>
                </c:pt>
                <c:pt idx="12">
                  <c:v>51663.21484375</c:v>
                </c:pt>
                <c:pt idx="13">
                  <c:v>54587.8671875</c:v>
                </c:pt>
                <c:pt idx="14">
                  <c:v>57538.421875</c:v>
                </c:pt>
                <c:pt idx="15">
                  <c:v>60307.64453125</c:v>
                </c:pt>
              </c:numCache>
            </c:numRef>
          </c:val>
          <c:smooth val="0"/>
          <c:extLst>
            <c:ext xmlns:c16="http://schemas.microsoft.com/office/drawing/2014/chart" uri="{C3380CC4-5D6E-409C-BE32-E72D297353CC}">
              <c16:uniqueId val="{00000002-C7BF-4591-A6D2-2C5DF40C77F2}"/>
            </c:ext>
          </c:extLst>
        </c:ser>
        <c:ser>
          <c:idx val="1"/>
          <c:order val="1"/>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'fig1'!$C$3:$C$18</c:f>
              <c:numCache>
                <c:formatCode>0</c:formatCode>
                <c:ptCount val="16"/>
                <c:pt idx="0">
                  <c:v>17559.05078125</c:v>
                </c:pt>
                <c:pt idx="1">
                  <c:v>18156.376953125</c:v>
                </c:pt>
                <c:pt idx="2">
                  <c:v>19325.234375</c:v>
                </c:pt>
                <c:pt idx="3">
                  <c:v>20595.9453125</c:v>
                </c:pt>
                <c:pt idx="4">
                  <c:v>22286.37109375</c:v>
                </c:pt>
                <c:pt idx="5">
                  <c:v>24142.287109375</c:v>
                </c:pt>
                <c:pt idx="6">
                  <c:v>26103.865234375</c:v>
                </c:pt>
                <c:pt idx="7">
                  <c:v>28030.51953125</c:v>
                </c:pt>
                <c:pt idx="8">
                  <c:v>30319.25</c:v>
                </c:pt>
                <c:pt idx="9">
                  <c:v>32702.62890625</c:v>
                </c:pt>
                <c:pt idx="10">
                  <c:v>35078.03125</c:v>
                </c:pt>
                <c:pt idx="11">
                  <c:v>37455.89453125</c:v>
                </c:pt>
                <c:pt idx="12">
                  <c:v>39896.41796875</c:v>
                </c:pt>
                <c:pt idx="13">
                  <c:v>42462.23828125</c:v>
                </c:pt>
                <c:pt idx="14">
                  <c:v>45195.015625</c:v>
                </c:pt>
                <c:pt idx="15">
                  <c:v>47922.609375</c:v>
                </c:pt>
              </c:numCache>
            </c:numRef>
          </c:val>
          <c:smooth val="0"/>
          <c:extLst>
            <c:ext xmlns:c16="http://schemas.microsoft.com/office/drawing/2014/chart" uri="{C3380CC4-5D6E-409C-BE32-E72D297353CC}">
              <c16:uniqueId val="{00000003-C7BF-4591-A6D2-2C5DF40C77F2}"/>
            </c:ext>
          </c:extLst>
        </c:ser>
        <c:ser>
          <c:idx val="2"/>
          <c:order val="2"/>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'fig1'!$D$3:$D$18</c:f>
              <c:numCache>
                <c:formatCode>0</c:formatCode>
                <c:ptCount val="16"/>
                <c:pt idx="0">
                  <c:v>17510.412109375</c:v>
                </c:pt>
                <c:pt idx="1">
                  <c:v>17955.36328125</c:v>
                </c:pt>
                <c:pt idx="2">
                  <c:v>18686.22265625</c:v>
                </c:pt>
                <c:pt idx="3">
                  <c:v>19315.896484375</c:v>
                </c:pt>
                <c:pt idx="4">
                  <c:v>20228.365234375</c:v>
                </c:pt>
                <c:pt idx="5">
                  <c:v>20986.625</c:v>
                </c:pt>
                <c:pt idx="6">
                  <c:v>21629.658203125</c:v>
                </c:pt>
                <c:pt idx="7">
                  <c:v>22079.01953125</c:v>
                </c:pt>
                <c:pt idx="8">
                  <c:v>22666.49609375</c:v>
                </c:pt>
                <c:pt idx="9">
                  <c:v>23134.2734375</c:v>
                </c:pt>
                <c:pt idx="10">
                  <c:v>23420.466796875</c:v>
                </c:pt>
                <c:pt idx="11">
                  <c:v>23594.45703125</c:v>
                </c:pt>
                <c:pt idx="12">
                  <c:v>23738.494140625</c:v>
                </c:pt>
                <c:pt idx="13">
                  <c:v>23897.654296875</c:v>
                </c:pt>
                <c:pt idx="14">
                  <c:v>24103.228515625</c:v>
                </c:pt>
                <c:pt idx="15">
                  <c:v>24328.078125</c:v>
                </c:pt>
              </c:numCache>
            </c:numRef>
          </c:val>
          <c:smooth val="0"/>
          <c:extLst>
            <c:ext xmlns:c16="http://schemas.microsoft.com/office/drawing/2014/chart" uri="{C3380CC4-5D6E-409C-BE32-E72D297353CC}">
              <c16:uniqueId val="{00000004-C7BF-4591-A6D2-2C5DF40C77F2}"/>
            </c:ext>
          </c:extLst>
        </c:ser>
        <c:ser>
          <c:idx val="3"/>
          <c:order val="3"/>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'fig1'!$E$3:$E$18</c:f>
              <c:numCache>
                <c:formatCode>0</c:formatCode>
                <c:ptCount val="16"/>
                <c:pt idx="0">
                  <c:v>17525.583984375</c:v>
                </c:pt>
                <c:pt idx="1">
                  <c:v>17899.84375</c:v>
                </c:pt>
                <c:pt idx="2">
                  <c:v>18823.01171875</c:v>
                </c:pt>
                <c:pt idx="3">
                  <c:v>19775.384765625</c:v>
                </c:pt>
                <c:pt idx="4">
                  <c:v>21055.73046875</c:v>
                </c:pt>
                <c:pt idx="5">
                  <c:v>22392.2578125</c:v>
                </c:pt>
                <c:pt idx="6">
                  <c:v>23716.927734375</c:v>
                </c:pt>
                <c:pt idx="7">
                  <c:v>24979.904296875</c:v>
                </c:pt>
                <c:pt idx="8">
                  <c:v>26560.169921875</c:v>
                </c:pt>
                <c:pt idx="9">
                  <c:v>28133.205078125</c:v>
                </c:pt>
                <c:pt idx="10">
                  <c:v>29594.40234375</c:v>
                </c:pt>
                <c:pt idx="11">
                  <c:v>31001.1484375</c:v>
                </c:pt>
                <c:pt idx="12">
                  <c:v>32482.2109375</c:v>
                </c:pt>
                <c:pt idx="13">
                  <c:v>34061.39453125</c:v>
                </c:pt>
                <c:pt idx="14">
                  <c:v>35759.3203125</c:v>
                </c:pt>
                <c:pt idx="15">
                  <c:v>37497.85546875</c:v>
                </c:pt>
              </c:numCache>
            </c:numRef>
          </c:val>
          <c:smooth val="0"/>
          <c:extLst>
            <c:ext xmlns:c16="http://schemas.microsoft.com/office/drawing/2014/chart" uri="{C3380CC4-5D6E-409C-BE32-E72D297353CC}">
              <c16:uniqueId val="{00000005-C7BF-4591-A6D2-2C5DF40C77F2}"/>
            </c:ext>
          </c:extLst>
        </c:ser>
        <c:ser>
          <c:idx val="4"/>
          <c:order val="4"/>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'fig1'!$F$3:$F$18</c:f>
              <c:numCache>
                <c:formatCode>0</c:formatCode>
                <c:ptCount val="16"/>
                <c:pt idx="0">
                  <c:v>17619.404296875</c:v>
                </c:pt>
                <c:pt idx="1">
                  <c:v>18451.05078125</c:v>
                </c:pt>
                <c:pt idx="2">
                  <c:v>20384.173828125</c:v>
                </c:pt>
                <c:pt idx="3">
                  <c:v>22690.298828125</c:v>
                </c:pt>
                <c:pt idx="4">
                  <c:v>25700.1484375</c:v>
                </c:pt>
                <c:pt idx="5">
                  <c:v>29141.228515625</c:v>
                </c:pt>
                <c:pt idx="6">
                  <c:v>32936.73046875</c:v>
                </c:pt>
                <c:pt idx="7">
                  <c:v>36808.60546875</c:v>
                </c:pt>
                <c:pt idx="8">
                  <c:v>41535.15234375</c:v>
                </c:pt>
                <c:pt idx="9">
                  <c:v>46409.53515625</c:v>
                </c:pt>
                <c:pt idx="10">
                  <c:v>51111.40625</c:v>
                </c:pt>
                <c:pt idx="11">
                  <c:v>55528.75</c:v>
                </c:pt>
                <c:pt idx="12">
                  <c:v>59742.5</c:v>
                </c:pt>
                <c:pt idx="13">
                  <c:v>63889.01953125</c:v>
                </c:pt>
                <c:pt idx="14">
                  <c:v>68319.1640625</c:v>
                </c:pt>
                <c:pt idx="15">
                  <c:v>72881.8515625</c:v>
                </c:pt>
              </c:numCache>
            </c:numRef>
          </c:val>
          <c:smooth val="0"/>
          <c:extLst>
            <c:ext xmlns:c16="http://schemas.microsoft.com/office/drawing/2014/chart" uri="{C3380CC4-5D6E-409C-BE32-E72D297353CC}">
              <c16:uniqueId val="{00000006-C7BF-4591-A6D2-2C5DF40C77F2}"/>
            </c:ext>
          </c:extLst>
        </c:ser>
        <c:ser>
          <c:idx val="5"/>
          <c:order val="5"/>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'fig1'!$G$3:$G$18</c:f>
              <c:numCache>
                <c:formatCode>0</c:formatCode>
                <c:ptCount val="16"/>
                <c:pt idx="0">
                  <c:v>18368.25390625</c:v>
                </c:pt>
                <c:pt idx="1">
                  <c:v>20731.828125</c:v>
                </c:pt>
                <c:pt idx="2">
                  <c:v>23503.384765625</c:v>
                </c:pt>
                <c:pt idx="3">
                  <c:v>26600.439453125</c:v>
                </c:pt>
                <c:pt idx="4">
                  <c:v>30014.296875</c:v>
                </c:pt>
                <c:pt idx="5">
                  <c:v>33538.8671875</c:v>
                </c:pt>
                <c:pt idx="6">
                  <c:v>37221.69140625</c:v>
                </c:pt>
                <c:pt idx="7">
                  <c:v>41231.39453125</c:v>
                </c:pt>
                <c:pt idx="8">
                  <c:v>45591.7578125</c:v>
                </c:pt>
                <c:pt idx="9">
                  <c:v>50138.2890625</c:v>
                </c:pt>
                <c:pt idx="10">
                  <c:v>54847.140625</c:v>
                </c:pt>
                <c:pt idx="11">
                  <c:v>59717.48828125</c:v>
                </c:pt>
                <c:pt idx="12">
                  <c:v>64784.26171875</c:v>
                </c:pt>
                <c:pt idx="13">
                  <c:v>70094.015625</c:v>
                </c:pt>
                <c:pt idx="14">
                  <c:v>75672.4453125</c:v>
                </c:pt>
                <c:pt idx="15">
                  <c:v>81522.8203125</c:v>
                </c:pt>
              </c:numCache>
            </c:numRef>
          </c:val>
          <c:smooth val="0"/>
          <c:extLst>
            <c:ext xmlns:c16="http://schemas.microsoft.com/office/drawing/2014/chart" uri="{C3380CC4-5D6E-409C-BE32-E72D297353CC}">
              <c16:uniqueId val="{00000007-C7BF-4591-A6D2-2C5DF40C77F2}"/>
            </c:ext>
          </c:extLst>
        </c:ser>
        <c:ser>
          <c:idx val="6"/>
          <c:order val="6"/>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'fig1'!$H$3:$H$18</c:f>
              <c:numCache>
                <c:formatCode>0</c:formatCode>
                <c:ptCount val="16"/>
                <c:pt idx="0">
                  <c:v>18305.990234375</c:v>
                </c:pt>
                <c:pt idx="1">
                  <c:v>20487.38671875</c:v>
                </c:pt>
                <c:pt idx="2">
                  <c:v>22675.201171875</c:v>
                </c:pt>
                <c:pt idx="3">
                  <c:v>24796.130859375</c:v>
                </c:pt>
                <c:pt idx="4">
                  <c:v>27013.173828125</c:v>
                </c:pt>
                <c:pt idx="5">
                  <c:v>29363.576171875</c:v>
                </c:pt>
                <c:pt idx="6">
                  <c:v>31896.27734375</c:v>
                </c:pt>
                <c:pt idx="7">
                  <c:v>34685.26953125</c:v>
                </c:pt>
                <c:pt idx="8">
                  <c:v>37744.12109375</c:v>
                </c:pt>
                <c:pt idx="9">
                  <c:v>40962.046875</c:v>
                </c:pt>
                <c:pt idx="10">
                  <c:v>44353.890625</c:v>
                </c:pt>
                <c:pt idx="11">
                  <c:v>47937.80078125</c:v>
                </c:pt>
                <c:pt idx="12">
                  <c:v>51753.32421875</c:v>
                </c:pt>
                <c:pt idx="13">
                  <c:v>55839.546875</c:v>
                </c:pt>
                <c:pt idx="14">
                  <c:v>60223.97265625</c:v>
                </c:pt>
                <c:pt idx="15">
                  <c:v>64915.12890625</c:v>
                </c:pt>
              </c:numCache>
            </c:numRef>
          </c:val>
          <c:smooth val="0"/>
          <c:extLst>
            <c:ext xmlns:c16="http://schemas.microsoft.com/office/drawing/2014/chart" uri="{C3380CC4-5D6E-409C-BE32-E72D297353CC}">
              <c16:uniqueId val="{00000008-C7BF-4591-A6D2-2C5DF40C77F2}"/>
            </c:ext>
          </c:extLst>
        </c:ser>
        <c:ser>
          <c:idx val="7"/>
          <c:order val="7"/>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'fig1'!$I$3:$I$18</c:f>
              <c:numCache>
                <c:formatCode>0</c:formatCode>
                <c:ptCount val="16"/>
                <c:pt idx="0">
                  <c:v>18255.10546875</c:v>
                </c:pt>
                <c:pt idx="1">
                  <c:v>20274.953125</c:v>
                </c:pt>
                <c:pt idx="2">
                  <c:v>21844.828125</c:v>
                </c:pt>
                <c:pt idx="3">
                  <c:v>22871.21875</c:v>
                </c:pt>
                <c:pt idx="4">
                  <c:v>23609.818359375</c:v>
                </c:pt>
                <c:pt idx="5">
                  <c:v>24221.783203125</c:v>
                </c:pt>
                <c:pt idx="6">
                  <c:v>24763.39453125</c:v>
                </c:pt>
                <c:pt idx="7">
                  <c:v>25234.453125</c:v>
                </c:pt>
                <c:pt idx="8">
                  <c:v>25655.3359375</c:v>
                </c:pt>
                <c:pt idx="9">
                  <c:v>25979.900390625</c:v>
                </c:pt>
                <c:pt idx="10">
                  <c:v>26253.939453125</c:v>
                </c:pt>
                <c:pt idx="11">
                  <c:v>26500.853515625</c:v>
                </c:pt>
                <c:pt idx="12">
                  <c:v>26741.64453125</c:v>
                </c:pt>
                <c:pt idx="13">
                  <c:v>26988.0546875</c:v>
                </c:pt>
                <c:pt idx="14">
                  <c:v>27246.796875</c:v>
                </c:pt>
                <c:pt idx="15">
                  <c:v>27521.146484375</c:v>
                </c:pt>
              </c:numCache>
            </c:numRef>
          </c:val>
          <c:smooth val="0"/>
          <c:extLst>
            <c:ext xmlns:c16="http://schemas.microsoft.com/office/drawing/2014/chart" uri="{C3380CC4-5D6E-409C-BE32-E72D297353CC}">
              <c16:uniqueId val="{00000009-C7BF-4591-A6D2-2C5DF40C77F2}"/>
            </c:ext>
          </c:extLst>
        </c:ser>
        <c:ser>
          <c:idx val="8"/>
          <c:order val="8"/>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'fig1'!$J$3:$J$18</c:f>
              <c:numCache>
                <c:formatCode>0</c:formatCode>
                <c:ptCount val="16"/>
                <c:pt idx="0">
                  <c:v>18271.103515625</c:v>
                </c:pt>
                <c:pt idx="1">
                  <c:v>20382.23828125</c:v>
                </c:pt>
                <c:pt idx="2">
                  <c:v>22481.490234375</c:v>
                </c:pt>
                <c:pt idx="3">
                  <c:v>24400.59765625</c:v>
                </c:pt>
                <c:pt idx="4">
                  <c:v>26242.935546875</c:v>
                </c:pt>
                <c:pt idx="5">
                  <c:v>27981.23828125</c:v>
                </c:pt>
                <c:pt idx="6">
                  <c:v>29655.021484375</c:v>
                </c:pt>
                <c:pt idx="7">
                  <c:v>31330.75390625</c:v>
                </c:pt>
                <c:pt idx="8">
                  <c:v>33050.64453125</c:v>
                </c:pt>
                <c:pt idx="9">
                  <c:v>34745.85546875</c:v>
                </c:pt>
                <c:pt idx="10">
                  <c:v>36445.91796875</c:v>
                </c:pt>
                <c:pt idx="11">
                  <c:v>38166.83203125</c:v>
                </c:pt>
                <c:pt idx="12">
                  <c:v>39929.8359375</c:v>
                </c:pt>
                <c:pt idx="13">
                  <c:v>41761.74609375</c:v>
                </c:pt>
                <c:pt idx="14">
                  <c:v>43697.44921875</c:v>
                </c:pt>
                <c:pt idx="15">
                  <c:v>45765.671875</c:v>
                </c:pt>
              </c:numCache>
            </c:numRef>
          </c:val>
          <c:smooth val="0"/>
          <c:extLst>
            <c:ext xmlns:c16="http://schemas.microsoft.com/office/drawing/2014/chart" uri="{C3380CC4-5D6E-409C-BE32-E72D297353CC}">
              <c16:uniqueId val="{0000000A-C7BF-4591-A6D2-2C5DF40C77F2}"/>
            </c:ext>
          </c:extLst>
        </c:ser>
        <c:ser>
          <c:idx val="9"/>
          <c:order val="9"/>
          <c:spPr>
            <a:ln w="28575" cap="rnd">
              <a:solidFill>
                <a:schemeClr val="accent6"/>
              </a:solidFill>
              <a:round/>
            </a:ln>
            <a:effectLst/>
          </c:spPr>
          <c:marker>
            <c:symbol val="none"/>
          </c:marker>
          <c:cat>
            <c:numRef>
              <c:f>'fig1'!$A$3:$A$18</c:f>
              <c:numCache>
                <c:formatCode>0</c:formatCode>
                <c:ptCount val="16"/>
                <c:pt idx="0">
                  <c:v>2025</c:v>
                </c:pt>
                <c:pt idx="1">
                  <c:v>2030</c:v>
                </c:pt>
                <c:pt idx="2">
                  <c:v>2035</c:v>
                </c:pt>
                <c:pt idx="3">
                  <c:v>2040</c:v>
                </c:pt>
                <c:pt idx="4">
                  <c:v>2045</c:v>
                </c:pt>
                <c:pt idx="5">
                  <c:v>2050</c:v>
                </c:pt>
                <c:pt idx="6">
                  <c:v>2055</c:v>
                </c:pt>
                <c:pt idx="7">
                  <c:v>2060</c:v>
                </c:pt>
                <c:pt idx="8">
                  <c:v>2065</c:v>
                </c:pt>
                <c:pt idx="9">
                  <c:v>2070</c:v>
                </c:pt>
                <c:pt idx="10">
                  <c:v>2075</c:v>
                </c:pt>
                <c:pt idx="11">
                  <c:v>2080</c:v>
                </c:pt>
                <c:pt idx="12">
                  <c:v>2085</c:v>
                </c:pt>
                <c:pt idx="13">
                  <c:v>2090</c:v>
                </c:pt>
                <c:pt idx="14">
                  <c:v>2095</c:v>
                </c:pt>
                <c:pt idx="15">
                  <c:v>2100</c:v>
                </c:pt>
              </c:numCache>
            </c:numRef>
          </c:cat>
          <c:val>
            <c:numRef>
              <c:f>'fig1'!$K$3:$K$18</c:f>
              <c:numCache>
                <c:formatCode>0</c:formatCode>
                <c:ptCount val="16"/>
                <c:pt idx="0">
                  <c:v>18369.111328125</c:v>
                </c:pt>
                <c:pt idx="1">
                  <c:v>20791.98046875</c:v>
                </c:pt>
                <c:pt idx="2">
                  <c:v>24118.103515625</c:v>
                </c:pt>
                <c:pt idx="3">
                  <c:v>28382.837890625</c:v>
                </c:pt>
                <c:pt idx="4">
                  <c:v>33403.3984375</c:v>
                </c:pt>
                <c:pt idx="5">
                  <c:v>38718.984375</c:v>
                </c:pt>
                <c:pt idx="6">
                  <c:v>44467.7578125</c:v>
                </c:pt>
                <c:pt idx="7">
                  <c:v>50958.4140625</c:v>
                </c:pt>
                <c:pt idx="8">
                  <c:v>58296.83984375</c:v>
                </c:pt>
                <c:pt idx="9">
                  <c:v>66326.1484375</c:v>
                </c:pt>
                <c:pt idx="10">
                  <c:v>75051.5390625</c:v>
                </c:pt>
                <c:pt idx="11">
                  <c:v>84510.234375</c:v>
                </c:pt>
                <c:pt idx="12">
                  <c:v>94796.8671875</c:v>
                </c:pt>
                <c:pt idx="13">
                  <c:v>106034.0390625</c:v>
                </c:pt>
                <c:pt idx="14">
                  <c:v>118321.9296875</c:v>
                </c:pt>
                <c:pt idx="15">
                  <c:v>131732.59375</c:v>
                </c:pt>
              </c:numCache>
            </c:numRef>
          </c:val>
          <c:smooth val="0"/>
          <c:extLst>
            <c:ext xmlns:c16="http://schemas.microsoft.com/office/drawing/2014/chart" uri="{C3380CC4-5D6E-409C-BE32-E72D297353CC}">
              <c16:uniqueId val="{0000000B-C7BF-4591-A6D2-2C5DF40C77F2}"/>
            </c:ext>
          </c:extLst>
        </c:ser>
        <c:dLbls>
          <c:showLegendKey val="0"/>
          <c:showVal val="0"/>
          <c:showCatName val="0"/>
          <c:showSerName val="0"/>
          <c:showPercent val="0"/>
          <c:showBubbleSize val="0"/>
        </c:dLbls>
        <c:marker val="1"/>
        <c:smooth val="0"/>
        <c:axId val="1167137344"/>
        <c:axId val="890928112"/>
      </c:lineChart>
      <c:catAx>
        <c:axId val="116713734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928112"/>
        <c:crosses val="autoZero"/>
        <c:auto val="1"/>
        <c:lblAlgn val="ctr"/>
        <c:lblOffset val="100"/>
        <c:noMultiLvlLbl val="0"/>
      </c:catAx>
      <c:valAx>
        <c:axId val="890928112"/>
        <c:scaling>
          <c:orientation val="minMax"/>
          <c:max val="140000"/>
          <c:min val="1200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137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3PR Theme Colors">
  <a:themeElements>
    <a:clrScheme name="3PR 2024 Colors">
      <a:dk1>
        <a:srgbClr val="474748"/>
      </a:dk1>
      <a:lt1>
        <a:srgbClr val="FFFFFF"/>
      </a:lt1>
      <a:dk2>
        <a:srgbClr val="03192A"/>
      </a:dk2>
      <a:lt2>
        <a:srgbClr val="E8E8E8"/>
      </a:lt2>
      <a:accent1>
        <a:srgbClr val="ED342E"/>
      </a:accent1>
      <a:accent2>
        <a:srgbClr val="FF8133"/>
      </a:accent2>
      <a:accent3>
        <a:srgbClr val="FFD589"/>
      </a:accent3>
      <a:accent4>
        <a:srgbClr val="99F5FF"/>
      </a:accent4>
      <a:accent5>
        <a:srgbClr val="3ABECB"/>
      </a:accent5>
      <a:accent6>
        <a:srgbClr val="0E64A9"/>
      </a:accent6>
      <a:hlink>
        <a:srgbClr val="006B7E"/>
      </a:hlink>
      <a:folHlink>
        <a:srgbClr val="8B8B8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3PR 2024 Colors">
    <a:dk1>
      <a:srgbClr val="474748"/>
    </a:dk1>
    <a:lt1>
      <a:srgbClr val="FFFFFF"/>
    </a:lt1>
    <a:dk2>
      <a:srgbClr val="03192A"/>
    </a:dk2>
    <a:lt2>
      <a:srgbClr val="E8E8E8"/>
    </a:lt2>
    <a:accent1>
      <a:srgbClr val="ED342E"/>
    </a:accent1>
    <a:accent2>
      <a:srgbClr val="FF8133"/>
    </a:accent2>
    <a:accent3>
      <a:srgbClr val="FFD589"/>
    </a:accent3>
    <a:accent4>
      <a:srgbClr val="99F5FF"/>
    </a:accent4>
    <a:accent5>
      <a:srgbClr val="3ABECB"/>
    </a:accent5>
    <a:accent6>
      <a:srgbClr val="0E64A9"/>
    </a:accent6>
    <a:hlink>
      <a:srgbClr val="006B7E"/>
    </a:hlink>
    <a:folHlink>
      <a:srgbClr val="8B8B8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f35221-3ae4-4df9-93d8-af846a29c349">
      <Terms xmlns="http://schemas.microsoft.com/office/infopath/2007/PartnerControls"/>
    </lcf76f155ced4ddcb4097134ff3c332f>
    <TaxCatchAll xmlns="c41388b7-58e1-435a-bba9-620fc02171ad" xsi:nil="true"/>
    <SharedWithUsers xmlns="c41388b7-58e1-435a-bba9-620fc02171ad">
      <UserInfo>
        <DisplayName>Maria Eugenia Genoni</DisplayName>
        <AccountId>11</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34B5320C9E3D48918523FCB111F261" ma:contentTypeVersion="13" ma:contentTypeDescription="Create a new document." ma:contentTypeScope="" ma:versionID="28ccb51282f804f5b5725ab36696ab51">
  <xsd:schema xmlns:xsd="http://www.w3.org/2001/XMLSchema" xmlns:xs="http://www.w3.org/2001/XMLSchema" xmlns:p="http://schemas.microsoft.com/office/2006/metadata/properties" xmlns:ns2="c41388b7-58e1-435a-bba9-620fc02171ad" xmlns:ns3="64f35221-3ae4-4df9-93d8-af846a29c349" targetNamespace="http://schemas.microsoft.com/office/2006/metadata/properties" ma:root="true" ma:fieldsID="f94ce9398e9ebd4f4b0257a4eda30f9b" ns2:_="" ns3:_="">
    <xsd:import namespace="c41388b7-58e1-435a-bba9-620fc02171ad"/>
    <xsd:import namespace="64f35221-3ae4-4df9-93d8-af846a29c3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388b7-58e1-435a-bba9-620fc02171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d15db6e-3aa4-4d69-9fa2-cd067578f2d4}" ma:internalName="TaxCatchAll" ma:showField="CatchAllData" ma:web="c41388b7-58e1-435a-bba9-620fc02171a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4f35221-3ae4-4df9-93d8-af846a29c3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F6208E-A992-4187-BA52-DA6999C953DE}">
  <ds:schemaRefs>
    <ds:schemaRef ds:uri="http://schemas.microsoft.com/sharepoint/v3/contenttype/forms"/>
  </ds:schemaRefs>
</ds:datastoreItem>
</file>

<file path=customXml/itemProps2.xml><?xml version="1.0" encoding="utf-8"?>
<ds:datastoreItem xmlns:ds="http://schemas.openxmlformats.org/officeDocument/2006/customXml" ds:itemID="{EC66F585-1415-40F9-993E-374B35771861}">
  <ds:schemaRefs>
    <ds:schemaRef ds:uri="http://schemas.openxmlformats.org/officeDocument/2006/bibliography"/>
  </ds:schemaRefs>
</ds:datastoreItem>
</file>

<file path=customXml/itemProps3.xml><?xml version="1.0" encoding="utf-8"?>
<ds:datastoreItem xmlns:ds="http://schemas.openxmlformats.org/officeDocument/2006/customXml" ds:itemID="{AEE4AB61-6F68-464B-BC7D-66A34291DCA8}">
  <ds:schemaRefs>
    <ds:schemaRef ds:uri="http://schemas.microsoft.com/office/2006/metadata/properties"/>
    <ds:schemaRef ds:uri="http://schemas.microsoft.com/office/infopath/2007/PartnerControls"/>
    <ds:schemaRef ds:uri="64f35221-3ae4-4df9-93d8-af846a29c349"/>
    <ds:schemaRef ds:uri="c41388b7-58e1-435a-bba9-620fc02171ad"/>
  </ds:schemaRefs>
</ds:datastoreItem>
</file>

<file path=customXml/itemProps4.xml><?xml version="1.0" encoding="utf-8"?>
<ds:datastoreItem xmlns:ds="http://schemas.openxmlformats.org/officeDocument/2006/customXml" ds:itemID="{04161241-4949-480B-80D4-ADC24A4BB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388b7-58e1-435a-bba9-620fc02171ad"/>
    <ds:schemaRef ds:uri="64f35221-3ae4-4df9-93d8-af846a29c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29771</Words>
  <Characters>169696</Characters>
  <Application>Microsoft Office Word</Application>
  <DocSecurity>4</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199069</CharactersWithSpaces>
  <SharedDoc>false</SharedDoc>
  <HLinks>
    <vt:vector size="66" baseType="variant">
      <vt:variant>
        <vt:i4>3538977</vt:i4>
      </vt:variant>
      <vt:variant>
        <vt:i4>12</vt:i4>
      </vt:variant>
      <vt:variant>
        <vt:i4>0</vt:i4>
      </vt:variant>
      <vt:variant>
        <vt:i4>5</vt:i4>
      </vt:variant>
      <vt:variant>
        <vt:lpwstr>https://edgar.jrc.ec.europa.eu/methodology</vt:lpwstr>
      </vt:variant>
      <vt:variant>
        <vt:lpwstr/>
      </vt:variant>
      <vt:variant>
        <vt:i4>1048649</vt:i4>
      </vt:variant>
      <vt:variant>
        <vt:i4>9</vt:i4>
      </vt:variant>
      <vt:variant>
        <vt:i4>0</vt:i4>
      </vt:variant>
      <vt:variant>
        <vt:i4>5</vt:i4>
      </vt:variant>
      <vt:variant>
        <vt:lpwstr>https://unstats.un.org/unsd/statcom/53rd-session/documents/BG-3a-Position-Household-Survey-for-Next-Decade-E.pdf</vt:lpwstr>
      </vt:variant>
      <vt:variant>
        <vt:lpwstr/>
      </vt:variant>
      <vt:variant>
        <vt:i4>7667752</vt:i4>
      </vt:variant>
      <vt:variant>
        <vt:i4>0</vt:i4>
      </vt:variant>
      <vt:variant>
        <vt:i4>0</vt:i4>
      </vt:variant>
      <vt:variant>
        <vt:i4>5</vt:i4>
      </vt:variant>
      <vt:variant>
        <vt:lpwstr>https://documents1.worldbank.org/curated/en/099121223173511026/pdf/BOSIB1ab32eaff0051a2191da7db5542842.pdf</vt:lpwstr>
      </vt:variant>
      <vt:variant>
        <vt:lpwstr/>
      </vt:variant>
      <vt:variant>
        <vt:i4>983102</vt:i4>
      </vt:variant>
      <vt:variant>
        <vt:i4>21</vt:i4>
      </vt:variant>
      <vt:variant>
        <vt:i4>0</vt:i4>
      </vt:variant>
      <vt:variant>
        <vt:i4>5</vt:i4>
      </vt:variant>
      <vt:variant>
        <vt:lpwstr>mailto:mgenoni@worldbank.org</vt:lpwstr>
      </vt:variant>
      <vt:variant>
        <vt:lpwstr/>
      </vt:variant>
      <vt:variant>
        <vt:i4>7536691</vt:i4>
      </vt:variant>
      <vt:variant>
        <vt:i4>18</vt:i4>
      </vt:variant>
      <vt:variant>
        <vt:i4>0</vt:i4>
      </vt:variant>
      <vt:variant>
        <vt:i4>5</vt:i4>
      </vt:variant>
      <vt:variant>
        <vt:lpwstr>https://wid.world/transparency/</vt:lpwstr>
      </vt:variant>
      <vt:variant>
        <vt:lpwstr/>
      </vt:variant>
      <vt:variant>
        <vt:i4>7864364</vt:i4>
      </vt:variant>
      <vt:variant>
        <vt:i4>15</vt:i4>
      </vt:variant>
      <vt:variant>
        <vt:i4>0</vt:i4>
      </vt:variant>
      <vt:variant>
        <vt:i4>5</vt:i4>
      </vt:variant>
      <vt:variant>
        <vt:lpwstr>https://documents1.worldbank.org/curated/en/099549506102441825/pdf/IDU1bd155bac16d78143af188331f87564a9d6c8.pdf</vt:lpwstr>
      </vt:variant>
      <vt:variant>
        <vt:lpwstr/>
      </vt:variant>
      <vt:variant>
        <vt:i4>7209031</vt:i4>
      </vt:variant>
      <vt:variant>
        <vt:i4>12</vt:i4>
      </vt:variant>
      <vt:variant>
        <vt:i4>0</vt:i4>
      </vt:variant>
      <vt:variant>
        <vt:i4>5</vt:i4>
      </vt:variant>
      <vt:variant>
        <vt:lpwstr>mailto:hstemmler@worldbank.org</vt:lpwstr>
      </vt:variant>
      <vt:variant>
        <vt:lpwstr/>
      </vt:variant>
      <vt:variant>
        <vt:i4>1179700</vt:i4>
      </vt:variant>
      <vt:variant>
        <vt:i4>9</vt:i4>
      </vt:variant>
      <vt:variant>
        <vt:i4>0</vt:i4>
      </vt:variant>
      <vt:variant>
        <vt:i4>5</vt:i4>
      </vt:variant>
      <vt:variant>
        <vt:lpwstr>mailto:dgroves@worldbank.org</vt:lpwstr>
      </vt:variant>
      <vt:variant>
        <vt:lpwstr/>
      </vt:variant>
      <vt:variant>
        <vt:i4>131135</vt:i4>
      </vt:variant>
      <vt:variant>
        <vt:i4>6</vt:i4>
      </vt:variant>
      <vt:variant>
        <vt:i4>0</vt:i4>
      </vt:variant>
      <vt:variant>
        <vt:i4>5</vt:i4>
      </vt:variant>
      <vt:variant>
        <vt:lpwstr>mailto:stettehbaah@worldbank.org</vt:lpwstr>
      </vt:variant>
      <vt:variant>
        <vt:lpwstr/>
      </vt:variant>
      <vt:variant>
        <vt:i4>131135</vt:i4>
      </vt:variant>
      <vt:variant>
        <vt:i4>3</vt:i4>
      </vt:variant>
      <vt:variant>
        <vt:i4>0</vt:i4>
      </vt:variant>
      <vt:variant>
        <vt:i4>5</vt:i4>
      </vt:variant>
      <vt:variant>
        <vt:lpwstr>mailto:stettehbaah@worldbank.org</vt:lpwstr>
      </vt:variant>
      <vt:variant>
        <vt:lpwstr/>
      </vt:variant>
      <vt:variant>
        <vt:i4>7209031</vt:i4>
      </vt:variant>
      <vt:variant>
        <vt:i4>0</vt:i4>
      </vt:variant>
      <vt:variant>
        <vt:i4>0</vt:i4>
      </vt:variant>
      <vt:variant>
        <vt:i4>5</vt:i4>
      </vt:variant>
      <vt:variant>
        <vt:lpwstr>mailto:hstemmler@worldbank.org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Stemmler</dc:creator>
  <cp:keywords/>
  <dc:description/>
  <cp:lastModifiedBy>Thijs Benschop</cp:lastModifiedBy>
  <cp:revision>2</cp:revision>
  <cp:lastPrinted>2024-05-07T02:19:00Z</cp:lastPrinted>
  <dcterms:created xsi:type="dcterms:W3CDTF">2024-07-01T13:48:00Z</dcterms:created>
  <dcterms:modified xsi:type="dcterms:W3CDTF">2024-07-01T13:48:00Z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0x010100C634B5320C9E3D48918523FCB111F261</vt:lpwstr>
  </property>
  <property fmtid="{D5CDD505-2E9C-101B-9397-08002B2CF9AE}" pid="3" name="MediaServiceImageTags">
    <vt:lpwstr/>
  </property>
  <property fmtid="{D5CDD505-2E9C-101B-9397-08002B2CF9AE}" pid="4" name="ZOTERO_PREF_1">
    <vt:lpwstr>&lt;data data-version="3" zotero-version="6.0.36"&gt;&lt;session id="Qynwqofk"/&gt;&lt;style id="http://www.zotero.org/styles/elsevier-harvard" hasBibliography="1" bibliographyStyleHasBeenSet="1"/&gt;&lt;prefs&gt;&lt;pref name="fieldType" value="Field"/&gt;&lt;/prefs&gt;&lt;/data&gt;</vt:lpwstr>
  </property>
</Properties>
</file>