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B43E" w14:textId="37D321A3" w:rsidR="0004711A" w:rsidRPr="00F322E5" w:rsidRDefault="00C01578" w:rsidP="0066559D">
      <w:pPr>
        <w:spacing w:after="0" w:line="240" w:lineRule="auto"/>
        <w:ind w:left="-180"/>
        <w:jc w:val="center"/>
        <w:textAlignment w:val="baseline"/>
        <w:rPr>
          <w:rFonts w:ascii="Garamond" w:eastAsia="Times New Roman" w:hAnsi="Garamond" w:cs="Times New Roman"/>
          <w:b/>
          <w:sz w:val="24"/>
          <w:szCs w:val="24"/>
        </w:rPr>
      </w:pPr>
      <w:r w:rsidRPr="00F322E5">
        <w:rPr>
          <w:rFonts w:ascii="Garamond" w:eastAsia="Times New Roman" w:hAnsi="Garamond" w:cs="Times New Roman"/>
          <w:b/>
          <w:sz w:val="24"/>
          <w:szCs w:val="24"/>
        </w:rPr>
        <w:t xml:space="preserve">WBG </w:t>
      </w:r>
      <w:r w:rsidR="007C7939" w:rsidRPr="00F322E5">
        <w:rPr>
          <w:rFonts w:ascii="Garamond" w:eastAsia="Times New Roman" w:hAnsi="Garamond" w:cs="Times New Roman"/>
          <w:b/>
          <w:sz w:val="24"/>
          <w:szCs w:val="24"/>
        </w:rPr>
        <w:t>Scorecard</w:t>
      </w:r>
      <w:r w:rsidR="002321E9" w:rsidRPr="00F322E5">
        <w:rPr>
          <w:rFonts w:ascii="Garamond" w:eastAsia="Times New Roman" w:hAnsi="Garamond" w:cs="Times New Roman"/>
          <w:b/>
          <w:sz w:val="24"/>
          <w:szCs w:val="24"/>
        </w:rPr>
        <w:t xml:space="preserve"> </w:t>
      </w:r>
      <w:r w:rsidRPr="00F322E5">
        <w:rPr>
          <w:rFonts w:ascii="Garamond" w:eastAsia="Times New Roman" w:hAnsi="Garamond" w:cs="Times New Roman"/>
          <w:b/>
          <w:sz w:val="24"/>
          <w:szCs w:val="24"/>
        </w:rPr>
        <w:t xml:space="preserve">FY24-FY30 </w:t>
      </w:r>
      <w:r w:rsidR="0004711A" w:rsidRPr="00F322E5">
        <w:rPr>
          <w:rFonts w:ascii="Garamond" w:eastAsia="Times New Roman" w:hAnsi="Garamond" w:cs="Times New Roman"/>
          <w:b/>
          <w:sz w:val="24"/>
          <w:szCs w:val="24"/>
        </w:rPr>
        <w:t>Methods Template</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bCs/>
          <w:sz w:val="24"/>
          <w:szCs w:val="24"/>
        </w:rPr>
        <w:t>–</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sz w:val="24"/>
          <w:szCs w:val="24"/>
        </w:rPr>
        <w:t>WB</w:t>
      </w:r>
      <w:r w:rsidR="004B15E3" w:rsidRPr="00F322E5">
        <w:rPr>
          <w:rFonts w:ascii="Garamond" w:eastAsia="Times New Roman" w:hAnsi="Garamond" w:cs="Times New Roman"/>
          <w:b/>
          <w:sz w:val="24"/>
          <w:szCs w:val="24"/>
        </w:rPr>
        <w:t>G</w:t>
      </w:r>
      <w:r w:rsidR="009C7D7A" w:rsidRPr="00F322E5">
        <w:rPr>
          <w:rFonts w:ascii="Garamond" w:eastAsia="Times New Roman" w:hAnsi="Garamond" w:cs="Times New Roman"/>
          <w:b/>
          <w:sz w:val="24"/>
          <w:szCs w:val="24"/>
        </w:rPr>
        <w:t xml:space="preserve"> </w:t>
      </w:r>
      <w:r w:rsidR="00672B70">
        <w:rPr>
          <w:rFonts w:ascii="Garamond" w:eastAsia="Times New Roman" w:hAnsi="Garamond" w:cs="Times New Roman"/>
          <w:b/>
          <w:sz w:val="24"/>
          <w:szCs w:val="24"/>
        </w:rPr>
        <w:t>Client Context and Vision</w:t>
      </w:r>
      <w:r w:rsidR="002321E9" w:rsidRPr="00F322E5">
        <w:rPr>
          <w:rFonts w:ascii="Garamond" w:eastAsia="Times New Roman" w:hAnsi="Garamond" w:cs="Times New Roman"/>
          <w:b/>
          <w:sz w:val="24"/>
          <w:szCs w:val="24"/>
        </w:rPr>
        <w:t xml:space="preserve"> Indicators</w:t>
      </w:r>
    </w:p>
    <w:p w14:paraId="719169CA" w14:textId="77777777" w:rsidR="0004711A" w:rsidRPr="0054513B" w:rsidRDefault="0004711A" w:rsidP="0004711A">
      <w:pPr>
        <w:spacing w:after="0" w:line="240" w:lineRule="auto"/>
        <w:jc w:val="center"/>
        <w:textAlignment w:val="baseline"/>
        <w:rPr>
          <w:rFonts w:ascii="Times New Roman" w:eastAsia="Times New Roman" w:hAnsi="Times New Roman" w:cs="Times New Roman"/>
          <w:sz w:val="20"/>
          <w:szCs w:val="20"/>
        </w:rPr>
      </w:pPr>
    </w:p>
    <w:p w14:paraId="72945E38" w14:textId="70B44DAA" w:rsidR="0004711A" w:rsidRDefault="00CB349C" w:rsidP="0066559D">
      <w:pPr>
        <w:spacing w:after="0" w:line="240" w:lineRule="auto"/>
        <w:jc w:val="both"/>
        <w:textAlignment w:val="baseline"/>
        <w:rPr>
          <w:rFonts w:ascii="Times New Roman" w:eastAsia="Times New Roman" w:hAnsi="Times New Roman" w:cs="Times New Roman"/>
          <w:sz w:val="20"/>
          <w:szCs w:val="20"/>
        </w:rPr>
      </w:pPr>
      <w:r w:rsidRPr="058DF8E3">
        <w:rPr>
          <w:rFonts w:ascii="Times New Roman" w:eastAsia="Times New Roman" w:hAnsi="Times New Roman" w:cs="Times New Roman"/>
          <w:sz w:val="20"/>
          <w:szCs w:val="20"/>
        </w:rPr>
        <w:t>The purpose of this</w:t>
      </w:r>
      <w:r w:rsidR="007F2C6E" w:rsidRPr="058DF8E3">
        <w:rPr>
          <w:rFonts w:ascii="Times New Roman" w:eastAsia="Times New Roman" w:hAnsi="Times New Roman" w:cs="Times New Roman"/>
          <w:sz w:val="20"/>
          <w:szCs w:val="20"/>
        </w:rPr>
        <w:t xml:space="preserve"> template is to ensure </w:t>
      </w:r>
      <w:r w:rsidR="00D01C32" w:rsidRPr="058DF8E3">
        <w:rPr>
          <w:rFonts w:ascii="Times New Roman" w:eastAsia="Times New Roman" w:hAnsi="Times New Roman" w:cs="Times New Roman"/>
          <w:sz w:val="20"/>
          <w:szCs w:val="20"/>
        </w:rPr>
        <w:t>th</w:t>
      </w:r>
      <w:r w:rsidR="00E3598E" w:rsidRPr="058DF8E3">
        <w:rPr>
          <w:rFonts w:ascii="Times New Roman" w:eastAsia="Times New Roman" w:hAnsi="Times New Roman" w:cs="Times New Roman"/>
          <w:sz w:val="20"/>
          <w:szCs w:val="20"/>
        </w:rPr>
        <w:t>e rigor</w:t>
      </w:r>
      <w:r w:rsidR="00266DDE">
        <w:rPr>
          <w:rFonts w:ascii="Times New Roman" w:eastAsia="Times New Roman" w:hAnsi="Times New Roman" w:cs="Times New Roman"/>
          <w:sz w:val="20"/>
          <w:szCs w:val="20"/>
        </w:rPr>
        <w:t xml:space="preserve"> and</w:t>
      </w:r>
      <w:r w:rsidR="00E3598E" w:rsidRPr="058DF8E3">
        <w:rPr>
          <w:rFonts w:ascii="Times New Roman" w:eastAsia="Times New Roman" w:hAnsi="Times New Roman" w:cs="Times New Roman"/>
          <w:sz w:val="20"/>
          <w:szCs w:val="20"/>
        </w:rPr>
        <w:t xml:space="preserve"> </w:t>
      </w:r>
      <w:r w:rsidR="000A7C49" w:rsidRPr="058DF8E3">
        <w:rPr>
          <w:rFonts w:ascii="Times New Roman" w:eastAsia="Times New Roman" w:hAnsi="Times New Roman" w:cs="Times New Roman"/>
          <w:sz w:val="20"/>
          <w:szCs w:val="20"/>
        </w:rPr>
        <w:t>transparency</w:t>
      </w:r>
      <w:r w:rsidR="00266DDE">
        <w:rPr>
          <w:rFonts w:ascii="Times New Roman" w:eastAsia="Times New Roman" w:hAnsi="Times New Roman" w:cs="Times New Roman"/>
          <w:sz w:val="20"/>
          <w:szCs w:val="20"/>
        </w:rPr>
        <w:t xml:space="preserve"> </w:t>
      </w:r>
      <w:r w:rsidR="00BD4AE3" w:rsidRPr="058DF8E3">
        <w:rPr>
          <w:rFonts w:ascii="Times New Roman" w:eastAsia="Times New Roman" w:hAnsi="Times New Roman" w:cs="Times New Roman"/>
          <w:sz w:val="20"/>
          <w:szCs w:val="20"/>
        </w:rPr>
        <w:t xml:space="preserve">of the </w:t>
      </w:r>
      <w:r w:rsidR="000A7C49">
        <w:rPr>
          <w:rFonts w:ascii="Times New Roman" w:eastAsia="Times New Roman" w:hAnsi="Times New Roman" w:cs="Times New Roman"/>
          <w:sz w:val="20"/>
          <w:szCs w:val="20"/>
        </w:rPr>
        <w:t xml:space="preserve">WBG </w:t>
      </w:r>
      <w:r w:rsidR="003321C2">
        <w:rPr>
          <w:rFonts w:ascii="Times New Roman" w:eastAsia="Times New Roman" w:hAnsi="Times New Roman" w:cs="Times New Roman"/>
          <w:sz w:val="20"/>
          <w:szCs w:val="20"/>
        </w:rPr>
        <w:t>client context and vision</w:t>
      </w:r>
      <w:r w:rsidR="000A7C49">
        <w:rPr>
          <w:rFonts w:ascii="Times New Roman" w:eastAsia="Times New Roman" w:hAnsi="Times New Roman" w:cs="Times New Roman"/>
          <w:sz w:val="20"/>
          <w:szCs w:val="20"/>
        </w:rPr>
        <w:t xml:space="preserve"> </w:t>
      </w:r>
      <w:r w:rsidR="00A8633C">
        <w:rPr>
          <w:rFonts w:ascii="Times New Roman" w:eastAsia="Times New Roman" w:hAnsi="Times New Roman" w:cs="Times New Roman"/>
          <w:sz w:val="20"/>
          <w:szCs w:val="20"/>
        </w:rPr>
        <w:t>i</w:t>
      </w:r>
      <w:r w:rsidR="00BD4AE3" w:rsidRPr="058DF8E3">
        <w:rPr>
          <w:rFonts w:ascii="Times New Roman" w:eastAsia="Times New Roman" w:hAnsi="Times New Roman" w:cs="Times New Roman"/>
          <w:sz w:val="20"/>
          <w:szCs w:val="20"/>
        </w:rPr>
        <w:t xml:space="preserve">ndicators </w:t>
      </w:r>
      <w:r w:rsidR="009E51EB" w:rsidRPr="058DF8E3">
        <w:rPr>
          <w:rFonts w:ascii="Times New Roman" w:eastAsia="Times New Roman" w:hAnsi="Times New Roman" w:cs="Times New Roman"/>
          <w:sz w:val="20"/>
          <w:szCs w:val="20"/>
        </w:rPr>
        <w:t>included in the new</w:t>
      </w:r>
      <w:r w:rsidR="00382EC0" w:rsidRPr="058DF8E3">
        <w:rPr>
          <w:rFonts w:ascii="Times New Roman" w:eastAsia="Times New Roman" w:hAnsi="Times New Roman" w:cs="Times New Roman"/>
          <w:sz w:val="20"/>
          <w:szCs w:val="20"/>
        </w:rPr>
        <w:t xml:space="preserve"> </w:t>
      </w:r>
      <w:r w:rsidR="00570E2B">
        <w:rPr>
          <w:rFonts w:ascii="Times New Roman" w:eastAsia="Times New Roman" w:hAnsi="Times New Roman" w:cs="Times New Roman"/>
          <w:sz w:val="20"/>
          <w:szCs w:val="20"/>
        </w:rPr>
        <w:t>WB</w:t>
      </w:r>
      <w:r w:rsidR="004B15E3">
        <w:rPr>
          <w:rFonts w:ascii="Times New Roman" w:eastAsia="Times New Roman" w:hAnsi="Times New Roman" w:cs="Times New Roman"/>
          <w:sz w:val="20"/>
          <w:szCs w:val="20"/>
        </w:rPr>
        <w:t>G</w:t>
      </w:r>
      <w:r w:rsidR="00570E2B">
        <w:rPr>
          <w:rFonts w:ascii="Times New Roman" w:eastAsia="Times New Roman" w:hAnsi="Times New Roman" w:cs="Times New Roman"/>
          <w:sz w:val="20"/>
          <w:szCs w:val="20"/>
        </w:rPr>
        <w:t xml:space="preserve"> </w:t>
      </w:r>
      <w:r w:rsidR="00382EC0" w:rsidRPr="058DF8E3">
        <w:rPr>
          <w:rFonts w:ascii="Times New Roman" w:eastAsia="Times New Roman" w:hAnsi="Times New Roman" w:cs="Times New Roman"/>
          <w:sz w:val="20"/>
          <w:szCs w:val="20"/>
        </w:rPr>
        <w:t>Scorecard</w:t>
      </w:r>
      <w:r w:rsidR="00A8633C">
        <w:rPr>
          <w:rFonts w:ascii="Times New Roman" w:eastAsia="Times New Roman" w:hAnsi="Times New Roman" w:cs="Times New Roman"/>
          <w:sz w:val="20"/>
          <w:szCs w:val="20"/>
        </w:rPr>
        <w:t xml:space="preserve"> FY24-FY30</w:t>
      </w:r>
      <w:r w:rsidR="006C502A" w:rsidRPr="058DF8E3">
        <w:rPr>
          <w:rFonts w:ascii="Times New Roman" w:eastAsia="Times New Roman" w:hAnsi="Times New Roman" w:cs="Times New Roman"/>
          <w:sz w:val="20"/>
          <w:szCs w:val="20"/>
        </w:rPr>
        <w:t xml:space="preserve">. We ask that </w:t>
      </w:r>
      <w:r w:rsidR="00660101">
        <w:rPr>
          <w:rFonts w:ascii="Times New Roman" w:eastAsia="Times New Roman" w:hAnsi="Times New Roman" w:cs="Times New Roman"/>
          <w:sz w:val="20"/>
          <w:szCs w:val="20"/>
        </w:rPr>
        <w:t xml:space="preserve">the technical </w:t>
      </w:r>
      <w:r w:rsidR="00DA5F70">
        <w:rPr>
          <w:rFonts w:ascii="Times New Roman" w:eastAsia="Times New Roman" w:hAnsi="Times New Roman" w:cs="Times New Roman"/>
          <w:sz w:val="20"/>
          <w:szCs w:val="20"/>
        </w:rPr>
        <w:t xml:space="preserve">team </w:t>
      </w:r>
      <w:r w:rsidR="006C502A" w:rsidRPr="058DF8E3">
        <w:rPr>
          <w:rFonts w:ascii="Times New Roman" w:eastAsia="Times New Roman" w:hAnsi="Times New Roman" w:cs="Times New Roman"/>
          <w:sz w:val="20"/>
          <w:szCs w:val="20"/>
        </w:rPr>
        <w:t xml:space="preserve">provide </w:t>
      </w:r>
      <w:r w:rsidR="000A2142" w:rsidRPr="058DF8E3">
        <w:rPr>
          <w:rFonts w:ascii="Times New Roman" w:eastAsia="Times New Roman" w:hAnsi="Times New Roman" w:cs="Times New Roman"/>
          <w:sz w:val="20"/>
          <w:szCs w:val="20"/>
        </w:rPr>
        <w:t>a sufficiently detailed methodology</w:t>
      </w:r>
      <w:r w:rsidR="00DA5F70">
        <w:rPr>
          <w:rFonts w:ascii="Times New Roman" w:eastAsia="Times New Roman" w:hAnsi="Times New Roman" w:cs="Times New Roman"/>
          <w:sz w:val="20"/>
          <w:szCs w:val="20"/>
        </w:rPr>
        <w:t xml:space="preserve">, </w:t>
      </w:r>
      <w:r w:rsidR="00FE45DA" w:rsidRPr="058DF8E3">
        <w:rPr>
          <w:rFonts w:ascii="Times New Roman" w:eastAsia="Times New Roman" w:hAnsi="Times New Roman" w:cs="Times New Roman"/>
          <w:sz w:val="20"/>
          <w:szCs w:val="20"/>
        </w:rPr>
        <w:t xml:space="preserve">so </w:t>
      </w:r>
      <w:r w:rsidR="000A2142" w:rsidRPr="058DF8E3">
        <w:rPr>
          <w:rFonts w:ascii="Times New Roman" w:eastAsia="Times New Roman" w:hAnsi="Times New Roman" w:cs="Times New Roman"/>
          <w:sz w:val="20"/>
          <w:szCs w:val="20"/>
        </w:rPr>
        <w:t xml:space="preserve">that anyone who </w:t>
      </w:r>
      <w:r w:rsidR="00D84199" w:rsidRPr="058DF8E3">
        <w:rPr>
          <w:rFonts w:ascii="Times New Roman" w:eastAsia="Times New Roman" w:hAnsi="Times New Roman" w:cs="Times New Roman"/>
          <w:sz w:val="20"/>
          <w:szCs w:val="20"/>
        </w:rPr>
        <w:t xml:space="preserve">reads this template </w:t>
      </w:r>
      <w:r w:rsidR="004F00A0">
        <w:rPr>
          <w:rFonts w:ascii="Times New Roman" w:eastAsia="Times New Roman" w:hAnsi="Times New Roman" w:cs="Times New Roman"/>
          <w:sz w:val="20"/>
          <w:szCs w:val="20"/>
        </w:rPr>
        <w:t xml:space="preserve">would be able to </w:t>
      </w:r>
      <w:r w:rsidR="00B32265">
        <w:rPr>
          <w:rFonts w:ascii="Times New Roman" w:eastAsia="Times New Roman" w:hAnsi="Times New Roman" w:cs="Times New Roman"/>
          <w:sz w:val="20"/>
          <w:szCs w:val="20"/>
        </w:rPr>
        <w:t>understand the method of calculation, underlying source(s) of data, and potential caveats or limitations underlying the inputs.</w:t>
      </w:r>
    </w:p>
    <w:p w14:paraId="1A62E5E8" w14:textId="77777777" w:rsidR="00DA5F70" w:rsidRDefault="00DA5F70" w:rsidP="0066559D">
      <w:pPr>
        <w:spacing w:after="0" w:line="240" w:lineRule="auto"/>
        <w:jc w:val="both"/>
        <w:textAlignment w:val="baseline"/>
        <w:rPr>
          <w:rFonts w:ascii="Times New Roman" w:eastAsia="Times New Roman" w:hAnsi="Times New Roman" w:cs="Times New Roman"/>
          <w:sz w:val="20"/>
          <w:szCs w:val="20"/>
        </w:rPr>
      </w:pPr>
    </w:p>
    <w:p w14:paraId="1DCA3093" w14:textId="1CFD7490" w:rsidR="00DA5F70" w:rsidRPr="0054513B" w:rsidRDefault="002D7CDD" w:rsidP="0066559D">
      <w:pPr>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Definitions included in this template are aligned to the WBG Scorecard paper </w:t>
      </w:r>
      <w:r w:rsidRPr="002D7CDD">
        <w:rPr>
          <w:rFonts w:ascii="Times New Roman" w:eastAsia="Times New Roman" w:hAnsi="Times New Roman" w:cs="Times New Roman"/>
          <w:sz w:val="20"/>
          <w:szCs w:val="20"/>
        </w:rPr>
        <w:t>endorsed by the Board on Dec 19</w:t>
      </w:r>
      <w:r w:rsidRPr="002D7CDD">
        <w:rPr>
          <w:rFonts w:ascii="Times New Roman" w:eastAsia="Times New Roman" w:hAnsi="Times New Roman" w:cs="Times New Roman"/>
          <w:sz w:val="20"/>
          <w:szCs w:val="20"/>
          <w:vertAlign w:val="superscript"/>
        </w:rPr>
        <w:t>th</w:t>
      </w:r>
      <w:r w:rsidRPr="002D7CDD">
        <w:rPr>
          <w:rFonts w:ascii="Times New Roman" w:eastAsia="Times New Roman" w:hAnsi="Times New Roman" w:cs="Times New Roman"/>
          <w:sz w:val="20"/>
          <w:szCs w:val="20"/>
        </w:rPr>
        <w:t>, 2023</w:t>
      </w:r>
      <w:r w:rsidR="003E7E2A">
        <w:rPr>
          <w:rFonts w:ascii="Times New Roman" w:eastAsia="Times New Roman" w:hAnsi="Times New Roman" w:cs="Times New Roman"/>
          <w:sz w:val="20"/>
          <w:szCs w:val="20"/>
        </w:rPr>
        <w:t>.</w:t>
      </w:r>
    </w:p>
    <w:p w14:paraId="40EF83A7" w14:textId="77777777" w:rsidR="0004711A" w:rsidRPr="0054513B" w:rsidRDefault="0004711A" w:rsidP="0004711A">
      <w:pPr>
        <w:spacing w:after="0" w:line="240" w:lineRule="auto"/>
        <w:textAlignment w:val="baseline"/>
        <w:rPr>
          <w:rFonts w:ascii="Times New Roman" w:eastAsia="Times New Roman" w:hAnsi="Times New Roman" w:cs="Times New Roman"/>
          <w:sz w:val="20"/>
          <w:szCs w:val="20"/>
        </w:rPr>
      </w:pPr>
    </w:p>
    <w:tbl>
      <w:tblPr>
        <w:tblW w:w="9621"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67"/>
        <w:gridCol w:w="4260"/>
        <w:gridCol w:w="4594"/>
      </w:tblGrid>
      <w:tr w:rsidR="0004711A" w:rsidRPr="0054513B" w14:paraId="245A82BA" w14:textId="77777777" w:rsidTr="2BFF1B7A">
        <w:trPr>
          <w:trHeight w:val="420"/>
        </w:trPr>
        <w:tc>
          <w:tcPr>
            <w:tcW w:w="9621" w:type="dxa"/>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3F9A7A81" w14:textId="426D6EB6" w:rsidR="0004711A" w:rsidRPr="0054513B" w:rsidRDefault="009F6DED" w:rsidP="00604CB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b/>
                <w:bCs/>
                <w:sz w:val="20"/>
                <w:szCs w:val="20"/>
              </w:rPr>
              <w:t>OVERVIEW</w:t>
            </w:r>
          </w:p>
        </w:tc>
      </w:tr>
      <w:tr w:rsidR="0004711A" w:rsidRPr="0054513B" w14:paraId="1DE6D498" w14:textId="77777777" w:rsidTr="2BFF1B7A">
        <w:trPr>
          <w:trHeight w:val="42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F55E792" w14:textId="77777777" w:rsidR="0004711A" w:rsidRPr="0054513B" w:rsidRDefault="0004711A" w:rsidP="00847107">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color w:val="000000"/>
                <w:sz w:val="20"/>
                <w:szCs w:val="20"/>
              </w:rPr>
              <w:t>Indicator name</w:t>
            </w:r>
            <w:r w:rsidRPr="0054513B">
              <w:rPr>
                <w:rFonts w:ascii="Times New Roman" w:eastAsia="Times New Roman" w:hAnsi="Times New Roman" w:cs="Times New Roman"/>
                <w:color w:val="000000"/>
                <w:sz w:val="20"/>
                <w:szCs w:val="20"/>
              </w:rPr>
              <w:t> </w:t>
            </w:r>
          </w:p>
        </w:tc>
        <w:tc>
          <w:tcPr>
            <w:tcW w:w="8854" w:type="dxa"/>
            <w:gridSpan w:val="2"/>
            <w:tcBorders>
              <w:top w:val="single" w:sz="6" w:space="0" w:color="auto"/>
              <w:left w:val="single" w:sz="6" w:space="0" w:color="auto"/>
              <w:bottom w:val="single" w:sz="4" w:space="0" w:color="auto"/>
              <w:right w:val="single" w:sz="6" w:space="0" w:color="auto"/>
            </w:tcBorders>
            <w:shd w:val="clear" w:color="auto" w:fill="auto"/>
            <w:vAlign w:val="center"/>
            <w:hideMark/>
          </w:tcPr>
          <w:p w14:paraId="7867455C" w14:textId="13B57161" w:rsidR="00BF092B" w:rsidRPr="003F2A69" w:rsidRDefault="004D31E4" w:rsidP="00142E13">
            <w:pPr>
              <w:spacing w:after="0" w:line="240" w:lineRule="auto"/>
              <w:ind w:right="75"/>
              <w:textAlignment w:val="baseline"/>
              <w:rPr>
                <w:rFonts w:ascii="Times New Roman" w:eastAsia="Times New Roman" w:hAnsi="Times New Roman" w:cs="Times New Roman"/>
                <w:b/>
                <w:bCs/>
                <w:i/>
                <w:iCs/>
                <w:color w:val="000000"/>
                <w:sz w:val="20"/>
                <w:szCs w:val="20"/>
                <w:lang w:val="en-IN"/>
              </w:rPr>
            </w:pPr>
            <w:r w:rsidRPr="003F2A69">
              <w:rPr>
                <w:rFonts w:ascii="Times New Roman" w:eastAsia="Times New Roman" w:hAnsi="Times New Roman" w:cs="Times New Roman"/>
                <w:b/>
                <w:bCs/>
                <w:i/>
                <w:iCs/>
                <w:color w:val="000000" w:themeColor="text1"/>
                <w:sz w:val="20"/>
                <w:szCs w:val="20"/>
              </w:rPr>
              <w:t>Global greenhouse gas emissions</w:t>
            </w:r>
            <w:r w:rsidR="00982746">
              <w:rPr>
                <w:rFonts w:ascii="Times New Roman" w:eastAsia="Times New Roman" w:hAnsi="Times New Roman" w:cs="Times New Roman"/>
                <w:b/>
                <w:bCs/>
                <w:i/>
                <w:iCs/>
                <w:color w:val="000000" w:themeColor="text1"/>
                <w:sz w:val="20"/>
                <w:szCs w:val="20"/>
              </w:rPr>
              <w:t xml:space="preserve"> (Megatons of CO</w:t>
            </w:r>
            <w:r w:rsidR="00982746" w:rsidRPr="00984503">
              <w:rPr>
                <w:rFonts w:ascii="Times New Roman" w:eastAsia="Times New Roman" w:hAnsi="Times New Roman" w:cs="Times New Roman"/>
                <w:b/>
                <w:bCs/>
                <w:i/>
                <w:iCs/>
                <w:color w:val="000000" w:themeColor="text1"/>
                <w:sz w:val="20"/>
                <w:szCs w:val="20"/>
                <w:vertAlign w:val="subscript"/>
              </w:rPr>
              <w:t>2</w:t>
            </w:r>
            <w:r w:rsidR="00982746">
              <w:rPr>
                <w:rFonts w:ascii="Times New Roman" w:eastAsia="Times New Roman" w:hAnsi="Times New Roman" w:cs="Times New Roman"/>
                <w:b/>
                <w:bCs/>
                <w:i/>
                <w:iCs/>
                <w:color w:val="000000" w:themeColor="text1"/>
                <w:sz w:val="20"/>
                <w:szCs w:val="20"/>
              </w:rPr>
              <w:t xml:space="preserve"> equivalent)</w:t>
            </w:r>
          </w:p>
          <w:p w14:paraId="5DA1A940" w14:textId="278B512E" w:rsidR="000570AE" w:rsidRPr="00E37BB1" w:rsidRDefault="000570AE" w:rsidP="00142E13">
            <w:pPr>
              <w:spacing w:after="0" w:line="240" w:lineRule="auto"/>
              <w:ind w:right="75"/>
              <w:textAlignment w:val="baseline"/>
              <w:rPr>
                <w:rFonts w:ascii="Times New Roman" w:eastAsia="Times New Roman" w:hAnsi="Times New Roman" w:cs="Times New Roman"/>
                <w:i/>
                <w:color w:val="000000"/>
                <w:sz w:val="20"/>
                <w:szCs w:val="20"/>
                <w:lang w:val="en-IN"/>
              </w:rPr>
            </w:pPr>
          </w:p>
        </w:tc>
      </w:tr>
      <w:tr w:rsidR="00982746" w:rsidRPr="0054513B" w14:paraId="3B146E70" w14:textId="77777777" w:rsidTr="2BFF1B7A">
        <w:trPr>
          <w:trHeight w:val="42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B50AE49" w14:textId="17B7D84D" w:rsidR="00982746" w:rsidRPr="0054513B" w:rsidRDefault="00982746" w:rsidP="00847107">
            <w:pPr>
              <w:spacing w:after="0" w:line="240" w:lineRule="auto"/>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w:t>
            </w:r>
            <w:r w:rsidR="00AF4F54">
              <w:rPr>
                <w:rFonts w:ascii="Times New Roman" w:eastAsia="Times New Roman" w:hAnsi="Times New Roman" w:cs="Times New Roman"/>
                <w:b/>
                <w:bCs/>
                <w:color w:val="000000"/>
                <w:sz w:val="20"/>
                <w:szCs w:val="20"/>
              </w:rPr>
              <w:t>ub</w:t>
            </w:r>
            <w:r>
              <w:rPr>
                <w:rFonts w:ascii="Times New Roman" w:eastAsia="Times New Roman" w:hAnsi="Times New Roman" w:cs="Times New Roman"/>
                <w:b/>
                <w:bCs/>
                <w:color w:val="000000"/>
                <w:sz w:val="20"/>
                <w:szCs w:val="20"/>
              </w:rPr>
              <w:t>-I</w:t>
            </w:r>
            <w:r w:rsidR="00AF4F54">
              <w:rPr>
                <w:rFonts w:ascii="Times New Roman" w:eastAsia="Times New Roman" w:hAnsi="Times New Roman" w:cs="Times New Roman"/>
                <w:b/>
                <w:bCs/>
                <w:color w:val="000000"/>
                <w:sz w:val="20"/>
                <w:szCs w:val="20"/>
              </w:rPr>
              <w:t>ndicators</w:t>
            </w:r>
          </w:p>
        </w:tc>
        <w:tc>
          <w:tcPr>
            <w:tcW w:w="8854" w:type="dxa"/>
            <w:gridSpan w:val="2"/>
            <w:tcBorders>
              <w:top w:val="single" w:sz="6" w:space="0" w:color="auto"/>
              <w:left w:val="single" w:sz="6" w:space="0" w:color="auto"/>
              <w:bottom w:val="single" w:sz="4" w:space="0" w:color="auto"/>
              <w:right w:val="single" w:sz="6" w:space="0" w:color="auto"/>
            </w:tcBorders>
            <w:shd w:val="clear" w:color="auto" w:fill="auto"/>
            <w:vAlign w:val="center"/>
          </w:tcPr>
          <w:p w14:paraId="313AE29D" w14:textId="4A4BA234" w:rsidR="00982746" w:rsidRPr="0061094B" w:rsidRDefault="00982746" w:rsidP="00142E13">
            <w:pPr>
              <w:spacing w:after="0" w:line="240" w:lineRule="auto"/>
              <w:ind w:right="75"/>
              <w:textAlignment w:val="baseline"/>
              <w:rPr>
                <w:rFonts w:ascii="Times New Roman" w:eastAsia="Times New Roman" w:hAnsi="Times New Roman" w:cs="Times New Roman"/>
                <w:color w:val="000000" w:themeColor="text1"/>
                <w:sz w:val="20"/>
                <w:szCs w:val="20"/>
              </w:rPr>
            </w:pPr>
            <w:r w:rsidRPr="00984503">
              <w:rPr>
                <w:rFonts w:ascii="Times New Roman" w:eastAsia="Times New Roman" w:hAnsi="Times New Roman" w:cs="Times New Roman"/>
                <w:color w:val="000000" w:themeColor="text1"/>
                <w:sz w:val="20"/>
                <w:szCs w:val="20"/>
              </w:rPr>
              <w:t>N/</w:t>
            </w:r>
            <w:r w:rsidRPr="0061094B">
              <w:rPr>
                <w:rFonts w:ascii="Times New Roman" w:eastAsia="Times New Roman" w:hAnsi="Times New Roman" w:cs="Times New Roman"/>
                <w:color w:val="000000" w:themeColor="text1"/>
                <w:sz w:val="20"/>
                <w:szCs w:val="20"/>
              </w:rPr>
              <w:t>A</w:t>
            </w:r>
          </w:p>
        </w:tc>
      </w:tr>
      <w:tr w:rsidR="00BF092B" w:rsidRPr="0054513B" w14:paraId="25B2E18D" w14:textId="77777777" w:rsidTr="2BFF1B7A">
        <w:trPr>
          <w:trHeight w:val="420"/>
        </w:trPr>
        <w:tc>
          <w:tcPr>
            <w:tcW w:w="767" w:type="dxa"/>
            <w:tcBorders>
              <w:top w:val="single" w:sz="6" w:space="0" w:color="auto"/>
              <w:left w:val="single" w:sz="6" w:space="0" w:color="auto"/>
              <w:bottom w:val="single" w:sz="6" w:space="0" w:color="auto"/>
              <w:right w:val="single" w:sz="4" w:space="0" w:color="auto"/>
            </w:tcBorders>
            <w:shd w:val="clear" w:color="auto" w:fill="F2F2F2" w:themeFill="background1" w:themeFillShade="F2"/>
            <w:vAlign w:val="center"/>
          </w:tcPr>
          <w:p w14:paraId="7B55424F" w14:textId="19BD4110" w:rsidR="00BF092B" w:rsidRPr="0054513B" w:rsidRDefault="00BF092B" w:rsidP="00040F7D">
            <w:pPr>
              <w:spacing w:after="0" w:line="240" w:lineRule="auto"/>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Vision </w:t>
            </w:r>
            <w:r w:rsidR="002C3890">
              <w:rPr>
                <w:rFonts w:ascii="Times New Roman" w:eastAsia="Times New Roman" w:hAnsi="Times New Roman" w:cs="Times New Roman"/>
                <w:b/>
                <w:bCs/>
                <w:color w:val="000000"/>
                <w:sz w:val="20"/>
                <w:szCs w:val="20"/>
              </w:rPr>
              <w:t>/</w:t>
            </w:r>
            <w:r w:rsidR="00040F7D">
              <w:rPr>
                <w:rFonts w:ascii="Times New Roman" w:eastAsia="Times New Roman" w:hAnsi="Times New Roman" w:cs="Times New Roman"/>
                <w:b/>
                <w:bCs/>
                <w:color w:val="000000"/>
                <w:sz w:val="20"/>
                <w:szCs w:val="20"/>
              </w:rPr>
              <w:t xml:space="preserve"> </w:t>
            </w:r>
            <w:r w:rsidR="002C3890">
              <w:rPr>
                <w:rFonts w:ascii="Times New Roman" w:eastAsia="Times New Roman" w:hAnsi="Times New Roman" w:cs="Times New Roman"/>
                <w:b/>
                <w:bCs/>
                <w:color w:val="000000"/>
                <w:sz w:val="20"/>
                <w:szCs w:val="20"/>
              </w:rPr>
              <w:t xml:space="preserve">Client </w:t>
            </w:r>
            <w:r w:rsidR="00040F7D">
              <w:rPr>
                <w:rFonts w:ascii="Times New Roman" w:eastAsia="Times New Roman" w:hAnsi="Times New Roman" w:cs="Times New Roman"/>
                <w:b/>
                <w:bCs/>
                <w:color w:val="000000"/>
                <w:sz w:val="20"/>
                <w:szCs w:val="20"/>
              </w:rPr>
              <w:t>Context</w:t>
            </w:r>
          </w:p>
        </w:tc>
        <w:tc>
          <w:tcPr>
            <w:tcW w:w="4260" w:type="dxa"/>
            <w:tcBorders>
              <w:top w:val="single" w:sz="4" w:space="0" w:color="auto"/>
              <w:left w:val="single" w:sz="4" w:space="0" w:color="auto"/>
              <w:bottom w:val="single" w:sz="4" w:space="0" w:color="auto"/>
              <w:right w:val="nil"/>
            </w:tcBorders>
            <w:shd w:val="clear" w:color="auto" w:fill="auto"/>
            <w:vAlign w:val="center"/>
          </w:tcPr>
          <w:p w14:paraId="08C455F3" w14:textId="703B1171" w:rsidR="00BF092B" w:rsidRPr="00BF092B" w:rsidRDefault="00227864"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397121450"/>
                <w14:checkbox>
                  <w14:checked w14:val="1"/>
                  <w14:checkedState w14:val="2612" w14:font="MS Gothic"/>
                  <w14:uncheckedState w14:val="2610" w14:font="MS Gothic"/>
                </w14:checkbox>
              </w:sdtPr>
              <w:sdtEndPr/>
              <w:sdtContent>
                <w:r w:rsidR="004D31E4">
                  <w:rPr>
                    <w:rFonts w:ascii="MS Gothic" w:eastAsia="MS Gothic" w:hAnsi="MS Gothic" w:cs="Times New Roman" w:hint="eastAsia"/>
                    <w:color w:val="000000"/>
                    <w:sz w:val="16"/>
                    <w:szCs w:val="16"/>
                  </w:rPr>
                  <w:t>☒</w:t>
                </w:r>
              </w:sdtContent>
            </w:sdt>
            <w:r w:rsidR="002C3890">
              <w:rPr>
                <w:rFonts w:ascii="Times New Roman" w:eastAsia="Times New Roman" w:hAnsi="Times New Roman" w:cs="Times New Roman"/>
                <w:color w:val="000000"/>
                <w:sz w:val="16"/>
                <w:szCs w:val="16"/>
              </w:rPr>
              <w:t>Vision indicator</w:t>
            </w:r>
          </w:p>
        </w:tc>
        <w:tc>
          <w:tcPr>
            <w:tcW w:w="4594" w:type="dxa"/>
            <w:tcBorders>
              <w:top w:val="single" w:sz="4" w:space="0" w:color="auto"/>
              <w:left w:val="nil"/>
              <w:bottom w:val="single" w:sz="4" w:space="0" w:color="auto"/>
              <w:right w:val="single" w:sz="4" w:space="0" w:color="auto"/>
            </w:tcBorders>
            <w:shd w:val="clear" w:color="auto" w:fill="auto"/>
            <w:vAlign w:val="center"/>
          </w:tcPr>
          <w:p w14:paraId="10DDBD46" w14:textId="54292BF5" w:rsidR="00BF092B" w:rsidRPr="00BF092B" w:rsidRDefault="00227864"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4803053"/>
                <w14:checkbox>
                  <w14:checked w14:val="0"/>
                  <w14:checkedState w14:val="2612" w14:font="MS Gothic"/>
                  <w14:uncheckedState w14:val="2610" w14:font="MS Gothic"/>
                </w14:checkbox>
              </w:sdtPr>
              <w:sdtEndPr/>
              <w:sdtContent>
                <w:r w:rsidR="00BF092B" w:rsidRPr="00155A90">
                  <w:rPr>
                    <w:rFonts w:ascii="Segoe UI Symbol" w:eastAsia="MS Gothic" w:hAnsi="Segoe UI Symbol" w:cs="Segoe UI Symbol"/>
                    <w:color w:val="000000"/>
                    <w:sz w:val="16"/>
                    <w:szCs w:val="16"/>
                  </w:rPr>
                  <w:t>☐</w:t>
                </w:r>
              </w:sdtContent>
            </w:sdt>
            <w:r w:rsidR="00040F7D">
              <w:rPr>
                <w:rFonts w:ascii="Times New Roman" w:eastAsia="Times New Roman" w:hAnsi="Times New Roman" w:cs="Times New Roman"/>
                <w:color w:val="000000"/>
                <w:sz w:val="16"/>
                <w:szCs w:val="16"/>
              </w:rPr>
              <w:t>Client context indicator</w:t>
            </w:r>
          </w:p>
        </w:tc>
      </w:tr>
      <w:tr w:rsidR="000D1077" w:rsidRPr="0054513B" w14:paraId="42EE9105" w14:textId="77777777" w:rsidTr="2BFF1B7A">
        <w:trPr>
          <w:trHeight w:val="420"/>
        </w:trPr>
        <w:tc>
          <w:tcPr>
            <w:tcW w:w="767" w:type="dxa"/>
            <w:vMerge w:val="restart"/>
            <w:tcBorders>
              <w:top w:val="nil"/>
              <w:left w:val="single" w:sz="6" w:space="0" w:color="auto"/>
              <w:right w:val="single" w:sz="6" w:space="0" w:color="auto"/>
            </w:tcBorders>
            <w:shd w:val="clear" w:color="auto" w:fill="F2F2F2" w:themeFill="background1" w:themeFillShade="F2"/>
            <w:vAlign w:val="center"/>
          </w:tcPr>
          <w:p w14:paraId="24D1EBD8" w14:textId="764421CA" w:rsidR="000D1077" w:rsidRPr="0054513B" w:rsidRDefault="000D1077" w:rsidP="000D1077">
            <w:pPr>
              <w:spacing w:after="0" w:line="240" w:lineRule="auto"/>
              <w:textAlignment w:val="baseline"/>
              <w:rPr>
                <w:rFonts w:ascii="Times New Roman" w:eastAsia="Times New Roman" w:hAnsi="Times New Roman" w:cs="Times New Roman"/>
                <w:b/>
                <w:bCs/>
                <w:color w:val="000000" w:themeColor="text1"/>
                <w:sz w:val="20"/>
                <w:szCs w:val="20"/>
              </w:rPr>
            </w:pPr>
            <w:r w:rsidRPr="0054513B">
              <w:rPr>
                <w:rFonts w:ascii="Times New Roman" w:eastAsia="Times New Roman" w:hAnsi="Times New Roman" w:cs="Times New Roman"/>
                <w:b/>
                <w:bCs/>
                <w:color w:val="000000" w:themeColor="text1"/>
                <w:sz w:val="20"/>
                <w:szCs w:val="20"/>
              </w:rPr>
              <w:t>Outcome area</w:t>
            </w:r>
          </w:p>
        </w:tc>
        <w:tc>
          <w:tcPr>
            <w:tcW w:w="8854" w:type="dxa"/>
            <w:gridSpan w:val="2"/>
            <w:tcBorders>
              <w:top w:val="single" w:sz="4" w:space="0" w:color="auto"/>
              <w:left w:val="single" w:sz="6" w:space="0" w:color="auto"/>
              <w:bottom w:val="nil"/>
              <w:right w:val="single" w:sz="6" w:space="0" w:color="auto"/>
            </w:tcBorders>
            <w:shd w:val="clear" w:color="auto" w:fill="auto"/>
            <w:vAlign w:val="center"/>
          </w:tcPr>
          <w:p w14:paraId="67159B2A" w14:textId="4494919E" w:rsidR="000D1077" w:rsidRPr="000D1077" w:rsidRDefault="000D1077" w:rsidP="00142E13">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the </w:t>
            </w:r>
            <w:r w:rsidRPr="00E37BB1">
              <w:rPr>
                <w:rFonts w:ascii="Times New Roman" w:eastAsia="Times New Roman" w:hAnsi="Times New Roman" w:cs="Times New Roman"/>
                <w:i/>
                <w:iCs/>
                <w:color w:val="000000"/>
                <w:sz w:val="20"/>
                <w:szCs w:val="20"/>
              </w:rPr>
              <w:t>new Scorecard</w:t>
            </w:r>
            <w:r w:rsidRPr="0054513B">
              <w:rPr>
                <w:rFonts w:ascii="Times New Roman" w:eastAsia="Times New Roman" w:hAnsi="Times New Roman" w:cs="Times New Roman"/>
                <w:i/>
                <w:iCs/>
                <w:color w:val="000000"/>
                <w:sz w:val="20"/>
                <w:szCs w:val="20"/>
              </w:rPr>
              <w:t xml:space="preserve"> </w:t>
            </w:r>
            <w:r w:rsidR="00604CB4">
              <w:rPr>
                <w:rFonts w:ascii="Times New Roman" w:eastAsia="Times New Roman" w:hAnsi="Times New Roman" w:cs="Times New Roman"/>
                <w:i/>
                <w:iCs/>
                <w:color w:val="000000"/>
                <w:sz w:val="20"/>
                <w:szCs w:val="20"/>
              </w:rPr>
              <w:t xml:space="preserve">paper </w:t>
            </w:r>
            <w:r w:rsidRPr="0054513B">
              <w:rPr>
                <w:rFonts w:ascii="Times New Roman" w:eastAsia="Times New Roman" w:hAnsi="Times New Roman" w:cs="Times New Roman"/>
                <w:i/>
                <w:iCs/>
                <w:color w:val="000000"/>
                <w:sz w:val="20"/>
                <w:szCs w:val="20"/>
              </w:rPr>
              <w:t>for further details on outcome areas</w:t>
            </w:r>
            <w:r w:rsidR="00040F7D">
              <w:rPr>
                <w:rFonts w:ascii="Times New Roman" w:eastAsia="Times New Roman" w:hAnsi="Times New Roman" w:cs="Times New Roman"/>
                <w:i/>
                <w:iCs/>
                <w:color w:val="000000"/>
                <w:sz w:val="20"/>
                <w:szCs w:val="20"/>
              </w:rPr>
              <w:t xml:space="preserve"> (only applicable for Client context indicator)</w:t>
            </w:r>
            <w:r w:rsidRPr="0054513B">
              <w:rPr>
                <w:rFonts w:ascii="Times New Roman" w:eastAsia="Times New Roman" w:hAnsi="Times New Roman" w:cs="Times New Roman"/>
                <w:i/>
                <w:iCs/>
                <w:color w:val="000000"/>
                <w:sz w:val="20"/>
                <w:szCs w:val="20"/>
              </w:rPr>
              <w:t>.</w:t>
            </w:r>
          </w:p>
        </w:tc>
      </w:tr>
      <w:tr w:rsidR="000D1077" w:rsidRPr="0054513B" w14:paraId="13F1B8AC" w14:textId="77777777" w:rsidTr="2BFF1B7A">
        <w:trPr>
          <w:trHeight w:val="420"/>
        </w:trPr>
        <w:tc>
          <w:tcPr>
            <w:tcW w:w="767" w:type="dxa"/>
            <w:vMerge/>
            <w:vAlign w:val="center"/>
          </w:tcPr>
          <w:p w14:paraId="5BBB8518" w14:textId="5E57A087" w:rsidR="000D1077" w:rsidRPr="0054513B" w:rsidRDefault="000D1077" w:rsidP="00847107">
            <w:pPr>
              <w:spacing w:after="0" w:line="240" w:lineRule="auto"/>
              <w:textAlignment w:val="baseline"/>
              <w:rPr>
                <w:rFonts w:ascii="Times New Roman" w:eastAsia="Times New Roman" w:hAnsi="Times New Roman" w:cs="Times New Roman"/>
                <w:b/>
                <w:bCs/>
                <w:color w:val="000000"/>
                <w:sz w:val="20"/>
                <w:szCs w:val="20"/>
              </w:rPr>
            </w:pPr>
          </w:p>
        </w:tc>
        <w:tc>
          <w:tcPr>
            <w:tcW w:w="4260" w:type="dxa"/>
            <w:tcBorders>
              <w:top w:val="nil"/>
              <w:left w:val="single" w:sz="6" w:space="0" w:color="auto"/>
              <w:bottom w:val="single" w:sz="6" w:space="0" w:color="auto"/>
              <w:right w:val="nil"/>
            </w:tcBorders>
            <w:shd w:val="clear" w:color="auto" w:fill="auto"/>
            <w:vAlign w:val="center"/>
          </w:tcPr>
          <w:p w14:paraId="673753D4" w14:textId="770FB316"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76366787"/>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 xml:space="preserve">Protection for the </w:t>
            </w:r>
            <w:r w:rsidR="000D1077" w:rsidRPr="00155A90">
              <w:rPr>
                <w:rFonts w:ascii="Times New Roman" w:eastAsia="Times New Roman" w:hAnsi="Times New Roman" w:cs="Times New Roman"/>
                <w:color w:val="000000"/>
                <w:sz w:val="16"/>
                <w:szCs w:val="16"/>
              </w:rPr>
              <w:t>Poorest</w:t>
            </w:r>
          </w:p>
          <w:p w14:paraId="5097DCEF" w14:textId="0A4C1642"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0543085"/>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Healthier Lives</w:t>
            </w:r>
            <w:r w:rsidR="000D1077" w:rsidRPr="00155A90">
              <w:rPr>
                <w:rFonts w:ascii="Times New Roman" w:eastAsia="Times New Roman" w:hAnsi="Times New Roman" w:cs="Times New Roman"/>
                <w:color w:val="000000"/>
                <w:sz w:val="16"/>
                <w:szCs w:val="16"/>
              </w:rPr>
              <w:t xml:space="preserve">   </w:t>
            </w:r>
          </w:p>
          <w:p w14:paraId="6D038C65" w14:textId="6CCEDC57"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123192104"/>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Green and blue planet and resilient populations</w:t>
            </w:r>
          </w:p>
          <w:p w14:paraId="3C2DFB26" w14:textId="219D0ABA"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759677380"/>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Sustainable food systems</w:t>
            </w:r>
          </w:p>
          <w:p w14:paraId="4B08AF67" w14:textId="07E015FD"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09803848"/>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Affordable, reliable and sustainable energy for all</w:t>
            </w:r>
          </w:p>
          <w:p w14:paraId="1AC07F18" w14:textId="3788909C" w:rsidR="004D27C0" w:rsidRPr="00155A90" w:rsidRDefault="00227864" w:rsidP="0037142D">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05383974"/>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Digital services</w:t>
            </w:r>
          </w:p>
          <w:p w14:paraId="3ED7B8AD" w14:textId="31CB7210" w:rsidR="004D27C0" w:rsidRPr="00155A90" w:rsidRDefault="00227864"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63018746"/>
                <w14:checkbox>
                  <w14:checked w14:val="0"/>
                  <w14:checkedState w14:val="2612" w14:font="MS Gothic"/>
                  <w14:uncheckedState w14:val="2610" w14:font="MS Gothic"/>
                </w14:checkbox>
              </w:sdtPr>
              <w:sdtEnd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More and Better Jobs</w:t>
            </w:r>
          </w:p>
          <w:p w14:paraId="69053EA0" w14:textId="6F8E0957" w:rsidR="004D27C0" w:rsidRPr="00155A90" w:rsidRDefault="004D27C0" w:rsidP="004D27C0">
            <w:pPr>
              <w:spacing w:after="0" w:line="240" w:lineRule="auto"/>
              <w:ind w:right="75"/>
              <w:jc w:val="both"/>
              <w:textAlignment w:val="baseline"/>
              <w:rPr>
                <w:rFonts w:ascii="Times New Roman" w:eastAsia="Times New Roman" w:hAnsi="Times New Roman" w:cs="Times New Roman"/>
                <w:color w:val="000000"/>
                <w:sz w:val="16"/>
                <w:szCs w:val="16"/>
              </w:rPr>
            </w:pPr>
          </w:p>
        </w:tc>
        <w:tc>
          <w:tcPr>
            <w:tcW w:w="4594" w:type="dxa"/>
            <w:tcBorders>
              <w:top w:val="nil"/>
              <w:left w:val="nil"/>
              <w:bottom w:val="single" w:sz="6" w:space="0" w:color="auto"/>
              <w:right w:val="single" w:sz="6" w:space="0" w:color="auto"/>
            </w:tcBorders>
            <w:shd w:val="clear" w:color="auto" w:fill="auto"/>
            <w:vAlign w:val="center"/>
          </w:tcPr>
          <w:p w14:paraId="0E53DDD4" w14:textId="0C4C5FD6"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04167702"/>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0D1077" w:rsidRPr="00155A90">
              <w:rPr>
                <w:rFonts w:ascii="Times New Roman" w:eastAsia="Times New Roman" w:hAnsi="Times New Roman" w:cs="Times New Roman"/>
                <w:color w:val="000000"/>
                <w:sz w:val="16"/>
                <w:szCs w:val="16"/>
              </w:rPr>
              <w:t>No Learning Poverty</w:t>
            </w:r>
          </w:p>
          <w:p w14:paraId="4271CA68" w14:textId="34C95A8E"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86059262"/>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Effective Macroeconomics and Fiscal Management</w:t>
            </w:r>
          </w:p>
          <w:p w14:paraId="226EE10F" w14:textId="0CA9108D"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470443705"/>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Inclusive and equitable water and sanitation services</w:t>
            </w:r>
          </w:p>
          <w:p w14:paraId="12BCB7CC" w14:textId="142DFCAB"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19138521"/>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Connected Communities</w:t>
            </w:r>
          </w:p>
          <w:p w14:paraId="6CE3BB30" w14:textId="4A8A993C"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9522129"/>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Digital connectivity</w:t>
            </w:r>
          </w:p>
          <w:p w14:paraId="0D878F56" w14:textId="77777777" w:rsidR="000D1077"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56152945"/>
                <w14:checkbox>
                  <w14:checked w14:val="0"/>
                  <w14:checkedState w14:val="2612" w14:font="MS Gothic"/>
                  <w14:uncheckedState w14:val="2610" w14:font="MS Gothic"/>
                </w14:checkbox>
              </w:sdtPr>
              <w:sdtEnd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Gender equality and youth inclusion</w:t>
            </w:r>
          </w:p>
          <w:p w14:paraId="0CB6BFEE" w14:textId="77777777" w:rsidR="004D27C0" w:rsidRDefault="00227864"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72559204"/>
                <w14:checkbox>
                  <w14:checked w14:val="0"/>
                  <w14:checkedState w14:val="2612" w14:font="MS Gothic"/>
                  <w14:uncheckedState w14:val="2610" w14:font="MS Gothic"/>
                </w14:checkbox>
              </w:sdtPr>
              <w:sdtEnd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Better Lives for People in Fragility, Conflict, and Violence</w:t>
            </w:r>
          </w:p>
          <w:p w14:paraId="77911579" w14:textId="20FAF4FC" w:rsidR="00155A90" w:rsidRPr="00155A90" w:rsidRDefault="00227864"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39590044"/>
                <w14:checkbox>
                  <w14:checked w14:val="0"/>
                  <w14:checkedState w14:val="2612" w14:font="MS Gothic"/>
                  <w14:uncheckedState w14:val="2610" w14:font="MS Gothic"/>
                </w14:checkbox>
              </w:sdtPr>
              <w:sdtEndPr/>
              <w:sdtContent>
                <w:r w:rsidR="00155A90" w:rsidRPr="00155A90">
                  <w:rPr>
                    <w:rFonts w:ascii="Segoe UI Symbol" w:eastAsia="MS Gothic" w:hAnsi="Segoe UI Symbol" w:cs="Segoe UI Symbol"/>
                    <w:color w:val="000000"/>
                    <w:sz w:val="16"/>
                    <w:szCs w:val="16"/>
                  </w:rPr>
                  <w:t>☐</w:t>
                </w:r>
              </w:sdtContent>
            </w:sdt>
            <w:r w:rsidR="00155A90" w:rsidRPr="00155A90">
              <w:rPr>
                <w:rFonts w:ascii="Times New Roman" w:eastAsia="Times New Roman" w:hAnsi="Times New Roman" w:cs="Times New Roman"/>
                <w:color w:val="000000"/>
                <w:sz w:val="16"/>
                <w:szCs w:val="16"/>
              </w:rPr>
              <w:t>More private investments</w:t>
            </w:r>
          </w:p>
        </w:tc>
      </w:tr>
      <w:tr w:rsidR="00365A7A" w:rsidRPr="0054513B" w14:paraId="54641CAD" w14:textId="77777777" w:rsidTr="2BFF1B7A">
        <w:trPr>
          <w:trHeight w:val="435"/>
        </w:trPr>
        <w:tc>
          <w:tcPr>
            <w:tcW w:w="767" w:type="dxa"/>
            <w:vMerge w:val="restart"/>
            <w:tcBorders>
              <w:top w:val="single" w:sz="6" w:space="0" w:color="auto"/>
              <w:left w:val="single" w:sz="6" w:space="0" w:color="auto"/>
              <w:right w:val="single" w:sz="6" w:space="0" w:color="auto"/>
            </w:tcBorders>
            <w:shd w:val="clear" w:color="auto" w:fill="F2F2F2" w:themeFill="background1" w:themeFillShade="F2"/>
            <w:vAlign w:val="center"/>
          </w:tcPr>
          <w:p w14:paraId="75FCEE37" w14:textId="70319A1B"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r w:rsidRPr="0054513B">
              <w:rPr>
                <w:rFonts w:ascii="Times New Roman" w:eastAsia="Times New Roman" w:hAnsi="Times New Roman" w:cs="Times New Roman"/>
                <w:b/>
                <w:bCs/>
                <w:color w:val="000000"/>
                <w:sz w:val="20"/>
                <w:szCs w:val="20"/>
              </w:rPr>
              <w:t xml:space="preserve">SDG alignment </w:t>
            </w:r>
          </w:p>
        </w:tc>
        <w:tc>
          <w:tcPr>
            <w:tcW w:w="8854" w:type="dxa"/>
            <w:gridSpan w:val="2"/>
            <w:tcBorders>
              <w:top w:val="single" w:sz="6" w:space="0" w:color="auto"/>
              <w:left w:val="single" w:sz="6" w:space="0" w:color="auto"/>
              <w:bottom w:val="nil"/>
              <w:right w:val="single" w:sz="6" w:space="0" w:color="auto"/>
            </w:tcBorders>
            <w:shd w:val="clear" w:color="auto" w:fill="auto"/>
            <w:vAlign w:val="center"/>
          </w:tcPr>
          <w:p w14:paraId="06610E09" w14:textId="3A25EC22" w:rsidR="00365A7A" w:rsidRPr="00365A7A" w:rsidRDefault="00365A7A" w:rsidP="00D82D81">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w:t>
            </w:r>
            <w:hyperlink r:id="rId11" w:history="1">
              <w:r w:rsidRPr="0054513B">
                <w:rPr>
                  <w:rStyle w:val="Hyperlink"/>
                  <w:rFonts w:ascii="Times New Roman" w:eastAsia="Times New Roman" w:hAnsi="Times New Roman" w:cs="Times New Roman"/>
                  <w:i/>
                  <w:iCs/>
                  <w:sz w:val="20"/>
                  <w:szCs w:val="20"/>
                </w:rPr>
                <w:t>https://sdgs.un.org</w:t>
              </w:r>
            </w:hyperlink>
            <w:r w:rsidRPr="0054513B">
              <w:rPr>
                <w:rFonts w:ascii="Times New Roman" w:eastAsia="Times New Roman" w:hAnsi="Times New Roman" w:cs="Times New Roman"/>
                <w:i/>
                <w:iCs/>
                <w:color w:val="000000"/>
                <w:sz w:val="20"/>
                <w:szCs w:val="20"/>
              </w:rPr>
              <w:t xml:space="preserve">/ for further details on </w:t>
            </w:r>
            <w:r w:rsidR="00D82D81">
              <w:rPr>
                <w:rFonts w:ascii="Times New Roman" w:eastAsia="Times New Roman" w:hAnsi="Times New Roman" w:cs="Times New Roman"/>
                <w:i/>
                <w:iCs/>
                <w:color w:val="000000"/>
                <w:sz w:val="20"/>
                <w:szCs w:val="20"/>
              </w:rPr>
              <w:t>SDGs</w:t>
            </w:r>
            <w:r w:rsidR="008E59D5">
              <w:rPr>
                <w:rFonts w:ascii="Times New Roman" w:eastAsia="Times New Roman" w:hAnsi="Times New Roman" w:cs="Times New Roman"/>
                <w:i/>
                <w:iCs/>
                <w:color w:val="000000"/>
                <w:sz w:val="20"/>
                <w:szCs w:val="20"/>
              </w:rPr>
              <w:t xml:space="preserve"> (only applicable for Client context indicator)</w:t>
            </w:r>
            <w:r w:rsidR="008E59D5" w:rsidRPr="0054513B">
              <w:rPr>
                <w:rFonts w:ascii="Times New Roman" w:eastAsia="Times New Roman" w:hAnsi="Times New Roman" w:cs="Times New Roman"/>
                <w:i/>
                <w:iCs/>
                <w:color w:val="000000"/>
                <w:sz w:val="20"/>
                <w:szCs w:val="20"/>
              </w:rPr>
              <w:t>.</w:t>
            </w:r>
            <w:r w:rsidR="00D82D81">
              <w:rPr>
                <w:rFonts w:ascii="Times New Roman" w:eastAsia="Times New Roman" w:hAnsi="Times New Roman" w:cs="Times New Roman"/>
                <w:i/>
                <w:iCs/>
                <w:color w:val="000000"/>
                <w:sz w:val="20"/>
                <w:szCs w:val="20"/>
              </w:rPr>
              <w:t xml:space="preserve"> </w:t>
            </w:r>
            <w:r w:rsidRPr="0054513B">
              <w:rPr>
                <w:rFonts w:ascii="Times New Roman" w:eastAsia="Times New Roman" w:hAnsi="Times New Roman" w:cs="Times New Roman"/>
                <w:i/>
                <w:iCs/>
                <w:color w:val="000000"/>
                <w:sz w:val="20"/>
                <w:szCs w:val="20"/>
              </w:rPr>
              <w:t>Check all that apply:</w:t>
            </w:r>
          </w:p>
        </w:tc>
      </w:tr>
      <w:tr w:rsidR="00365A7A" w:rsidRPr="0054513B" w14:paraId="01B3A0E9" w14:textId="77777777" w:rsidTr="2BFF1B7A">
        <w:trPr>
          <w:trHeight w:val="480"/>
        </w:trPr>
        <w:tc>
          <w:tcPr>
            <w:tcW w:w="767" w:type="dxa"/>
            <w:vMerge/>
            <w:vAlign w:val="center"/>
          </w:tcPr>
          <w:p w14:paraId="3B465FBF" w14:textId="56D9A214"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4260" w:type="dxa"/>
            <w:tcBorders>
              <w:top w:val="nil"/>
              <w:left w:val="single" w:sz="6" w:space="0" w:color="auto"/>
              <w:bottom w:val="nil"/>
              <w:right w:val="nil"/>
            </w:tcBorders>
            <w:shd w:val="clear" w:color="auto" w:fill="auto"/>
            <w:vAlign w:val="center"/>
          </w:tcPr>
          <w:p w14:paraId="02ED7577" w14:textId="27D50A9D"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4462836"/>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 No Poverty</w:t>
            </w:r>
          </w:p>
          <w:p w14:paraId="6AC014CB" w14:textId="582A0721"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11411903"/>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2. Zero Hunger   </w:t>
            </w:r>
          </w:p>
          <w:p w14:paraId="65EAA349" w14:textId="47105330"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62719253"/>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3. Good Health and Well-being</w:t>
            </w:r>
          </w:p>
          <w:p w14:paraId="75871BCE" w14:textId="28CFEFCD"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82965446"/>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4. Quality Education</w:t>
            </w:r>
          </w:p>
          <w:p w14:paraId="5B42AA71" w14:textId="079E9A78"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5527773"/>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5. Gender Equality</w:t>
            </w:r>
          </w:p>
          <w:p w14:paraId="27918D97" w14:textId="0D6F35F4"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12890682"/>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6. Clean Water and Sanitation</w:t>
            </w:r>
          </w:p>
          <w:p w14:paraId="15F199D9" w14:textId="6817FE5F"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92653812"/>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7. Affordable and Clean Energy</w:t>
            </w:r>
          </w:p>
          <w:p w14:paraId="70A7D1F3" w14:textId="3E060B34"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11766090"/>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8. Decent Work and Economic Growth</w:t>
            </w:r>
          </w:p>
          <w:p w14:paraId="5B5E13C5" w14:textId="77777777"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67983603"/>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9. Industry Innovation and Infrastructure</w:t>
            </w:r>
          </w:p>
        </w:tc>
        <w:tc>
          <w:tcPr>
            <w:tcW w:w="4594" w:type="dxa"/>
            <w:tcBorders>
              <w:top w:val="nil"/>
              <w:left w:val="nil"/>
              <w:bottom w:val="nil"/>
              <w:right w:val="single" w:sz="6" w:space="0" w:color="auto"/>
            </w:tcBorders>
            <w:shd w:val="clear" w:color="auto" w:fill="auto"/>
            <w:vAlign w:val="center"/>
          </w:tcPr>
          <w:p w14:paraId="1A26B820" w14:textId="5CDFDE56"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7469140"/>
                <w14:checkbox>
                  <w14:checked w14:val="0"/>
                  <w14:checkedState w14:val="2612" w14:font="MS Gothic"/>
                  <w14:uncheckedState w14:val="2610" w14:font="MS Gothic"/>
                </w14:checkbox>
              </w:sdtPr>
              <w:sdtEnd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10. Reduced Inequalities</w:t>
            </w:r>
          </w:p>
          <w:p w14:paraId="5A7262CA" w14:textId="1EC33905" w:rsidR="00365A7A" w:rsidRPr="00155A90" w:rsidRDefault="00227864"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60467893"/>
                <w14:checkbox>
                  <w14:checked w14:val="0"/>
                  <w14:checkedState w14:val="2612" w14:font="MS Gothic"/>
                  <w14:uncheckedState w14:val="2610" w14:font="MS Gothic"/>
                </w14:checkbox>
              </w:sdtPr>
              <w:sdtEnd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11. Sustainable Cities and Communities</w:t>
            </w:r>
          </w:p>
          <w:p w14:paraId="7FAC62CF" w14:textId="560D678B" w:rsidR="00365A7A" w:rsidRPr="00155A90" w:rsidRDefault="00227864"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77785155"/>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12. Responsible Consumption and Production</w:t>
            </w:r>
          </w:p>
          <w:p w14:paraId="37D1DDCA" w14:textId="0743AF94" w:rsidR="00365A7A" w:rsidRPr="00155A90" w:rsidRDefault="00227864"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49021372"/>
                <w14:checkbox>
                  <w14:checked w14:val="1"/>
                  <w14:checkedState w14:val="2612" w14:font="MS Gothic"/>
                  <w14:uncheckedState w14:val="2610" w14:font="MS Gothic"/>
                </w14:checkbox>
              </w:sdtPr>
              <w:sdtEndPr/>
              <w:sdtContent>
                <w:r w:rsidR="002325AD">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13. Climate Action</w:t>
            </w:r>
          </w:p>
          <w:p w14:paraId="72344187" w14:textId="0F369872" w:rsidR="00365A7A" w:rsidRPr="00155A90" w:rsidRDefault="00227864"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8959127"/>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14. Life Below Water</w:t>
            </w:r>
          </w:p>
          <w:p w14:paraId="513D61FB" w14:textId="42AB4EC0" w:rsidR="00365A7A" w:rsidRPr="00155A90" w:rsidRDefault="00227864"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2860280"/>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15. Life on Land</w:t>
            </w:r>
          </w:p>
          <w:p w14:paraId="1504B018" w14:textId="768A3A9F" w:rsidR="00365A7A" w:rsidRPr="00155A90" w:rsidRDefault="00227864"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76099506"/>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16. Peace, Justice and Strong Institutions</w:t>
            </w:r>
          </w:p>
          <w:p w14:paraId="15D4043F" w14:textId="598B6A11" w:rsidR="00365A7A" w:rsidRPr="00155A90" w:rsidRDefault="00227864" w:rsidP="00365A7A">
            <w:pPr>
              <w:spacing w:after="0" w:line="240" w:lineRule="auto"/>
              <w:ind w:right="75"/>
              <w:textAlignment w:val="baseline"/>
              <w:rPr>
                <w:rFonts w:ascii="Times New Roman" w:eastAsia="Times New Roman" w:hAnsi="Times New Roman" w:cs="Times New Roman"/>
                <w:i/>
                <w:iCs/>
                <w:color w:val="000000"/>
                <w:sz w:val="16"/>
                <w:szCs w:val="16"/>
              </w:rPr>
            </w:pPr>
            <w:sdt>
              <w:sdtPr>
                <w:rPr>
                  <w:rFonts w:ascii="Times New Roman" w:eastAsia="Times New Roman" w:hAnsi="Times New Roman" w:cs="Times New Roman"/>
                  <w:color w:val="000000"/>
                  <w:sz w:val="16"/>
                  <w:szCs w:val="16"/>
                </w:rPr>
                <w:id w:val="1863554091"/>
                <w14:checkbox>
                  <w14:checked w14:val="0"/>
                  <w14:checkedState w14:val="2612" w14:font="MS Gothic"/>
                  <w14:uncheckedState w14:val="2610" w14:font="MS Gothic"/>
                </w14:checkbox>
              </w:sdtPr>
              <w:sdtEnd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17. Partnerships for the Goals</w:t>
            </w:r>
          </w:p>
        </w:tc>
      </w:tr>
      <w:tr w:rsidR="00365A7A" w:rsidRPr="0054513B" w14:paraId="6F32BC72" w14:textId="77777777" w:rsidTr="2BFF1B7A">
        <w:trPr>
          <w:trHeight w:val="74"/>
        </w:trPr>
        <w:tc>
          <w:tcPr>
            <w:tcW w:w="767" w:type="dxa"/>
            <w:vMerge/>
            <w:vAlign w:val="center"/>
          </w:tcPr>
          <w:p w14:paraId="26E61BA9" w14:textId="77777777"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8854" w:type="dxa"/>
            <w:gridSpan w:val="2"/>
            <w:tcBorders>
              <w:top w:val="nil"/>
              <w:left w:val="single" w:sz="6" w:space="0" w:color="auto"/>
              <w:bottom w:val="single" w:sz="6" w:space="0" w:color="auto"/>
              <w:right w:val="single" w:sz="6" w:space="0" w:color="auto"/>
            </w:tcBorders>
            <w:shd w:val="clear" w:color="auto" w:fill="auto"/>
            <w:vAlign w:val="center"/>
          </w:tcPr>
          <w:p w14:paraId="32F4AA37" w14:textId="0823EF34" w:rsidR="00365A7A" w:rsidRDefault="00365A7A" w:rsidP="00142E13">
            <w:pPr>
              <w:spacing w:after="0" w:line="240" w:lineRule="auto"/>
              <w:ind w:right="75"/>
              <w:jc w:val="both"/>
              <w:textAlignment w:val="baseline"/>
              <w:rPr>
                <w:rFonts w:ascii="Times New Roman" w:eastAsia="Times New Roman" w:hAnsi="Times New Roman" w:cs="Times New Roman"/>
                <w:color w:val="000000"/>
                <w:sz w:val="20"/>
                <w:szCs w:val="20"/>
              </w:rPr>
            </w:pPr>
          </w:p>
        </w:tc>
      </w:tr>
      <w:tr w:rsidR="008C44A4" w:rsidRPr="0054513B" w14:paraId="3E9486BB" w14:textId="77777777" w:rsidTr="2BFF1B7A">
        <w:trPr>
          <w:trHeight w:val="30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9D0516F" w14:textId="7D83DB2A" w:rsidR="008C44A4" w:rsidRPr="0054513B" w:rsidRDefault="008C44A4" w:rsidP="00847107">
            <w:pPr>
              <w:spacing w:after="0" w:line="240" w:lineRule="auto"/>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UNIT OF MEASURE</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tcPr>
          <w:p w14:paraId="5EDC2710" w14:textId="77777777" w:rsidR="00EE3093" w:rsidRPr="0054513B" w:rsidRDefault="00EE3093" w:rsidP="00EE3093">
            <w:pPr>
              <w:tabs>
                <w:tab w:val="left" w:pos="1140"/>
              </w:tabs>
              <w:spacing w:after="0" w:line="240" w:lineRule="auto"/>
              <w:ind w:right="75"/>
              <w:textAlignment w:val="baseline"/>
              <w:rPr>
                <w:rFonts w:ascii="Times New Roman" w:eastAsia="Times New Roman" w:hAnsi="Times New Roman" w:cs="Times New Roman"/>
                <w:i/>
                <w:iCs/>
                <w:sz w:val="20"/>
                <w:szCs w:val="20"/>
              </w:rPr>
            </w:pPr>
          </w:p>
          <w:p w14:paraId="3E589BDA" w14:textId="77777777" w:rsidR="001F0A61" w:rsidRDefault="00227864" w:rsidP="00EE3093">
            <w:pPr>
              <w:tabs>
                <w:tab w:val="left" w:pos="1140"/>
              </w:tabs>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1486439545"/>
                <w14:checkbox>
                  <w14:checked w14:val="0"/>
                  <w14:checkedState w14:val="2612" w14:font="MS Gothic"/>
                  <w14:uncheckedState w14:val="2610" w14:font="MS Gothic"/>
                </w14:checkbox>
              </w:sdtPr>
              <w:sdtEndPr/>
              <w:sdtContent>
                <w:r w:rsidR="00EE3093" w:rsidRPr="00211681">
                  <w:rPr>
                    <w:rFonts w:ascii="Segoe UI Symbol" w:eastAsia="MS Gothic" w:hAnsi="Segoe UI Symbol" w:cs="Segoe UI Symbol"/>
                    <w:sz w:val="20"/>
                    <w:szCs w:val="20"/>
                  </w:rPr>
                  <w:t>☐</w:t>
                </w:r>
              </w:sdtContent>
            </w:sdt>
            <w:r w:rsidR="00EE3093">
              <w:rPr>
                <w:rFonts w:ascii="Times New Roman" w:eastAsia="Times New Roman" w:hAnsi="Times New Roman" w:cs="Times New Roman"/>
                <w:sz w:val="20"/>
                <w:szCs w:val="20"/>
              </w:rPr>
              <w:t>Number of people</w:t>
            </w:r>
            <w:r w:rsidR="00EE3093" w:rsidRPr="0021168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456758476"/>
                <w14:checkbox>
                  <w14:checked w14:val="0"/>
                  <w14:checkedState w14:val="2612" w14:font="MS Gothic"/>
                  <w14:uncheckedState w14:val="2610" w14:font="MS Gothic"/>
                </w14:checkbox>
              </w:sdtPr>
              <w:sdtEndPr/>
              <w:sdtContent>
                <w:r w:rsidR="00EE3093" w:rsidRPr="00211681">
                  <w:rPr>
                    <w:rFonts w:ascii="Segoe UI Symbol" w:eastAsia="MS Gothic" w:hAnsi="Segoe UI Symbol" w:cs="Segoe UI Symbol"/>
                    <w:sz w:val="20"/>
                    <w:szCs w:val="20"/>
                  </w:rPr>
                  <w:t>☐</w:t>
                </w:r>
              </w:sdtContent>
            </w:sdt>
            <w:r w:rsidR="00EE3093">
              <w:rPr>
                <w:rFonts w:ascii="Times New Roman" w:eastAsia="Times New Roman" w:hAnsi="Times New Roman" w:cs="Times New Roman"/>
                <w:sz w:val="20"/>
                <w:szCs w:val="20"/>
              </w:rPr>
              <w:t>Number of countries</w:t>
            </w:r>
            <w:r w:rsidR="00EE3093" w:rsidRPr="0021168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017611180"/>
                <w14:checkbox>
                  <w14:checked w14:val="0"/>
                  <w14:checkedState w14:val="2612" w14:font="MS Gothic"/>
                  <w14:uncheckedState w14:val="2610" w14:font="MS Gothic"/>
                </w14:checkbox>
              </w:sdtPr>
              <w:sdtEndPr/>
              <w:sdtContent>
                <w:r w:rsidR="00EE3093" w:rsidRPr="00211681">
                  <w:rPr>
                    <w:rFonts w:ascii="Segoe UI Symbol" w:eastAsia="MS Gothic" w:hAnsi="Segoe UI Symbol" w:cs="Segoe UI Symbol"/>
                    <w:sz w:val="20"/>
                    <w:szCs w:val="20"/>
                  </w:rPr>
                  <w:t>☐</w:t>
                </w:r>
              </w:sdtContent>
            </w:sdt>
            <w:r w:rsidR="00EE3093">
              <w:rPr>
                <w:rFonts w:ascii="Times New Roman" w:eastAsia="Times New Roman" w:hAnsi="Times New Roman" w:cs="Times New Roman"/>
                <w:sz w:val="20"/>
                <w:szCs w:val="20"/>
              </w:rPr>
              <w:t xml:space="preserve">USD </w:t>
            </w:r>
            <w:sdt>
              <w:sdtPr>
                <w:rPr>
                  <w:rFonts w:ascii="Times New Roman" w:eastAsia="Times New Roman" w:hAnsi="Times New Roman" w:cs="Times New Roman"/>
                  <w:sz w:val="20"/>
                  <w:szCs w:val="20"/>
                </w:rPr>
                <w:id w:val="-61105939"/>
                <w14:checkbox>
                  <w14:checked w14:val="0"/>
                  <w14:checkedState w14:val="2612" w14:font="MS Gothic"/>
                  <w14:uncheckedState w14:val="2610" w14:font="MS Gothic"/>
                </w14:checkbox>
              </w:sdtPr>
              <w:sdtEndPr/>
              <w:sdtContent>
                <w:r w:rsidR="00EE3093" w:rsidRPr="00211681">
                  <w:rPr>
                    <w:rFonts w:ascii="Segoe UI Symbol" w:eastAsia="MS Gothic" w:hAnsi="Segoe UI Symbol" w:cs="Segoe UI Symbol"/>
                    <w:sz w:val="20"/>
                    <w:szCs w:val="20"/>
                  </w:rPr>
                  <w:t>☐</w:t>
                </w:r>
              </w:sdtContent>
            </w:sdt>
            <w:r w:rsidR="00EE3093" w:rsidRPr="00211681">
              <w:rPr>
                <w:rFonts w:ascii="Times New Roman" w:eastAsia="Times New Roman" w:hAnsi="Times New Roman" w:cs="Times New Roman"/>
                <w:sz w:val="20"/>
                <w:szCs w:val="20"/>
              </w:rPr>
              <w:t xml:space="preserve">FCS </w:t>
            </w:r>
            <w:r w:rsidR="00EE3093">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743770786"/>
                <w14:checkbox>
                  <w14:checked w14:val="0"/>
                  <w14:checkedState w14:val="2612" w14:font="MS Gothic"/>
                  <w14:uncheckedState w14:val="2610" w14:font="MS Gothic"/>
                </w14:checkbox>
              </w:sdtPr>
              <w:sdtEndPr/>
              <w:sdtContent>
                <w:r w:rsidR="00EE3093" w:rsidRPr="00211681">
                  <w:rPr>
                    <w:rFonts w:ascii="Segoe UI Symbol" w:eastAsia="MS Gothic" w:hAnsi="Segoe UI Symbol" w:cs="Segoe UI Symbol"/>
                    <w:sz w:val="20"/>
                    <w:szCs w:val="20"/>
                  </w:rPr>
                  <w:t>☐</w:t>
                </w:r>
              </w:sdtContent>
            </w:sdt>
            <w:r w:rsidR="00EE3093">
              <w:rPr>
                <w:rFonts w:ascii="Times New Roman" w:eastAsia="Times New Roman" w:hAnsi="Times New Roman" w:cs="Times New Roman"/>
                <w:sz w:val="20"/>
                <w:szCs w:val="20"/>
              </w:rPr>
              <w:t>GW</w:t>
            </w:r>
            <w:r w:rsidR="001F0A6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980617833"/>
                <w14:checkbox>
                  <w14:checked w14:val="0"/>
                  <w14:checkedState w14:val="2612" w14:font="MS Gothic"/>
                  <w14:uncheckedState w14:val="2610" w14:font="MS Gothic"/>
                </w14:checkbox>
              </w:sdtPr>
              <w:sdtEndPr/>
              <w:sdtContent>
                <w:r w:rsidR="001F0A61" w:rsidRPr="00211681">
                  <w:rPr>
                    <w:rFonts w:ascii="Segoe UI Symbol" w:eastAsia="MS Gothic" w:hAnsi="Segoe UI Symbol" w:cs="Segoe UI Symbol"/>
                    <w:sz w:val="20"/>
                    <w:szCs w:val="20"/>
                  </w:rPr>
                  <w:t>☐</w:t>
                </w:r>
              </w:sdtContent>
            </w:sdt>
            <w:r w:rsidR="001F0A61">
              <w:rPr>
                <w:rFonts w:ascii="Times New Roman" w:eastAsia="Times New Roman" w:hAnsi="Times New Roman" w:cs="Times New Roman"/>
                <w:sz w:val="20"/>
                <w:szCs w:val="20"/>
              </w:rPr>
              <w:t xml:space="preserve">Hectares </w:t>
            </w:r>
            <w:sdt>
              <w:sdtPr>
                <w:rPr>
                  <w:rFonts w:ascii="Times New Roman" w:eastAsia="Times New Roman" w:hAnsi="Times New Roman" w:cs="Times New Roman"/>
                  <w:sz w:val="20"/>
                  <w:szCs w:val="20"/>
                </w:rPr>
                <w:id w:val="962005310"/>
                <w14:checkbox>
                  <w14:checked w14:val="0"/>
                  <w14:checkedState w14:val="2612" w14:font="MS Gothic"/>
                  <w14:uncheckedState w14:val="2610" w14:font="MS Gothic"/>
                </w14:checkbox>
              </w:sdtPr>
              <w:sdtEndPr/>
              <w:sdtContent>
                <w:r w:rsidR="001F0A61" w:rsidRPr="00211681">
                  <w:rPr>
                    <w:rFonts w:ascii="Segoe UI Symbol" w:eastAsia="MS Gothic" w:hAnsi="Segoe UI Symbol" w:cs="Segoe UI Symbol"/>
                    <w:sz w:val="20"/>
                    <w:szCs w:val="20"/>
                  </w:rPr>
                  <w:t>☐</w:t>
                </w:r>
              </w:sdtContent>
            </w:sdt>
            <w:r w:rsidR="001F0A61">
              <w:rPr>
                <w:rFonts w:ascii="Times New Roman" w:eastAsia="Times New Roman" w:hAnsi="Times New Roman" w:cs="Times New Roman"/>
                <w:sz w:val="20"/>
                <w:szCs w:val="20"/>
              </w:rPr>
              <w:t>tCO</w:t>
            </w:r>
            <w:r w:rsidR="001F0A61" w:rsidRPr="0061094B">
              <w:rPr>
                <w:rFonts w:ascii="Times New Roman" w:eastAsia="Times New Roman" w:hAnsi="Times New Roman" w:cs="Times New Roman"/>
                <w:sz w:val="20"/>
                <w:szCs w:val="20"/>
                <w:vertAlign w:val="subscript"/>
              </w:rPr>
              <w:t>2</w:t>
            </w:r>
            <w:r w:rsidR="001F0A61">
              <w:rPr>
                <w:rFonts w:ascii="Times New Roman" w:eastAsia="Times New Roman" w:hAnsi="Times New Roman" w:cs="Times New Roman"/>
                <w:sz w:val="20"/>
                <w:szCs w:val="20"/>
              </w:rPr>
              <w:t>eq/year</w:t>
            </w:r>
          </w:p>
          <w:p w14:paraId="17D0C14E" w14:textId="1D0BAD3C" w:rsidR="008C44A4" w:rsidRPr="0054513B" w:rsidRDefault="00227864" w:rsidP="00EE3093">
            <w:pPr>
              <w:tabs>
                <w:tab w:val="left" w:pos="1140"/>
              </w:tabs>
              <w:spacing w:after="0" w:line="240" w:lineRule="auto"/>
              <w:ind w:right="75"/>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982204324"/>
                <w14:checkbox>
                  <w14:checked w14:val="1"/>
                  <w14:checkedState w14:val="2612" w14:font="MS Gothic"/>
                  <w14:uncheckedState w14:val="2610" w14:font="MS Gothic"/>
                </w14:checkbox>
              </w:sdtPr>
              <w:sdtEndPr/>
              <w:sdtContent>
                <w:r w:rsidR="00EE3093">
                  <w:rPr>
                    <w:rFonts w:ascii="MS Gothic" w:eastAsia="MS Gothic" w:hAnsi="MS Gothic" w:cs="Times New Roman" w:hint="eastAsia"/>
                    <w:sz w:val="20"/>
                    <w:szCs w:val="20"/>
                  </w:rPr>
                  <w:t>☒</w:t>
                </w:r>
              </w:sdtContent>
            </w:sdt>
            <w:r w:rsidR="001F0A61">
              <w:rPr>
                <w:rFonts w:ascii="Times New Roman" w:eastAsia="Times New Roman" w:hAnsi="Times New Roman" w:cs="Times New Roman"/>
                <w:sz w:val="20"/>
                <w:szCs w:val="20"/>
              </w:rPr>
              <w:t>Other: Megatons of carbon dioxide equivalent</w:t>
            </w:r>
            <w:r w:rsidR="00EE3093" w:rsidRPr="00211681">
              <w:rPr>
                <w:rFonts w:ascii="Times New Roman" w:eastAsia="Times New Roman" w:hAnsi="Times New Roman" w:cs="Times New Roman"/>
                <w:sz w:val="20"/>
                <w:szCs w:val="20"/>
              </w:rPr>
              <w:t xml:space="preserve"> </w:t>
            </w:r>
            <w:r w:rsidR="00EE3093">
              <w:rPr>
                <w:rFonts w:ascii="Times New Roman" w:eastAsia="Times New Roman" w:hAnsi="Times New Roman" w:cs="Times New Roman"/>
                <w:sz w:val="20"/>
                <w:szCs w:val="20"/>
              </w:rPr>
              <w:t xml:space="preserve"> </w:t>
            </w:r>
          </w:p>
        </w:tc>
      </w:tr>
      <w:tr w:rsidR="00CC6D15" w:rsidRPr="0054513B" w14:paraId="1EED9137" w14:textId="77777777" w:rsidTr="2BFF1B7A">
        <w:trPr>
          <w:trHeight w:val="42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4632366" w14:textId="4EED212C" w:rsidR="00CC6D15" w:rsidRPr="0054513B" w:rsidRDefault="00CC6D15" w:rsidP="00CC6D15">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sz w:val="20"/>
                <w:szCs w:val="20"/>
              </w:rPr>
              <w:t>Legacy indicator name</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4CA2F22" w14:textId="77777777" w:rsidR="00830132" w:rsidRDefault="00830132" w:rsidP="00142E13">
            <w:pPr>
              <w:spacing w:after="0" w:line="240" w:lineRule="auto"/>
              <w:ind w:right="75"/>
              <w:textAlignment w:val="baseline"/>
              <w:rPr>
                <w:rFonts w:ascii="Times New Roman" w:eastAsia="Times New Roman" w:hAnsi="Times New Roman" w:cs="Times New Roman"/>
                <w:i/>
                <w:iCs/>
                <w:sz w:val="20"/>
                <w:szCs w:val="20"/>
              </w:rPr>
            </w:pPr>
          </w:p>
          <w:p w14:paraId="688321BD" w14:textId="659974FC" w:rsidR="00904EE9" w:rsidRPr="00C31803" w:rsidRDefault="00227864" w:rsidP="00904EE9">
            <w:pPr>
              <w:tabs>
                <w:tab w:val="left" w:pos="1140"/>
              </w:tabs>
              <w:spacing w:after="0" w:line="240" w:lineRule="auto"/>
              <w:ind w:right="75"/>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1743477275"/>
                <w14:checkbox>
                  <w14:checked w14:val="1"/>
                  <w14:checkedState w14:val="2612" w14:font="MS Gothic"/>
                  <w14:uncheckedState w14:val="2610" w14:font="MS Gothic"/>
                </w14:checkbox>
              </w:sdtPr>
              <w:sdtEndPr/>
              <w:sdtContent>
                <w:r w:rsidR="0078677C">
                  <w:rPr>
                    <w:rFonts w:ascii="MS Gothic" w:eastAsia="MS Gothic" w:hAnsi="MS Gothic" w:cs="Times New Roman" w:hint="eastAsia"/>
                    <w:sz w:val="20"/>
                    <w:szCs w:val="20"/>
                  </w:rPr>
                  <w:t>☒</w:t>
                </w:r>
              </w:sdtContent>
            </w:sdt>
            <w:r w:rsidR="00DC1480">
              <w:rPr>
                <w:rFonts w:ascii="Times New Roman" w:eastAsia="Times New Roman" w:hAnsi="Times New Roman" w:cs="Times New Roman"/>
                <w:sz w:val="20"/>
                <w:szCs w:val="20"/>
              </w:rPr>
              <w:t xml:space="preserve">WB </w:t>
            </w:r>
            <w:r w:rsidR="0029111F">
              <w:rPr>
                <w:rFonts w:ascii="Times New Roman" w:eastAsia="Times New Roman" w:hAnsi="Times New Roman" w:cs="Times New Roman"/>
                <w:sz w:val="20"/>
                <w:szCs w:val="20"/>
              </w:rPr>
              <w:t xml:space="preserve">Old </w:t>
            </w:r>
            <w:r w:rsidR="00F22B61">
              <w:rPr>
                <w:rFonts w:ascii="Times New Roman" w:eastAsia="Times New Roman" w:hAnsi="Times New Roman" w:cs="Times New Roman"/>
                <w:sz w:val="20"/>
                <w:szCs w:val="20"/>
              </w:rPr>
              <w:t>Scorecard</w:t>
            </w:r>
            <w:r w:rsidR="0029111F">
              <w:rPr>
                <w:rFonts w:ascii="Times New Roman" w:eastAsia="Times New Roman" w:hAnsi="Times New Roman" w:cs="Times New Roman"/>
                <w:sz w:val="20"/>
                <w:szCs w:val="20"/>
              </w:rPr>
              <w:t xml:space="preserve"> indicator: </w:t>
            </w:r>
            <w:r w:rsidR="0078677C" w:rsidRPr="0078677C">
              <w:rPr>
                <w:rFonts w:ascii="Times New Roman" w:eastAsia="Times New Roman" w:hAnsi="Times New Roman" w:cs="Times New Roman"/>
                <w:i/>
                <w:iCs/>
                <w:sz w:val="20"/>
                <w:szCs w:val="20"/>
              </w:rPr>
              <w:t>CO</w:t>
            </w:r>
            <w:r w:rsidR="0078677C" w:rsidRPr="0061094B">
              <w:rPr>
                <w:rFonts w:ascii="Times New Roman" w:eastAsia="Times New Roman" w:hAnsi="Times New Roman" w:cs="Times New Roman"/>
                <w:i/>
                <w:iCs/>
                <w:sz w:val="20"/>
                <w:szCs w:val="20"/>
                <w:vertAlign w:val="subscript"/>
              </w:rPr>
              <w:t>2</w:t>
            </w:r>
            <w:r w:rsidR="0078677C" w:rsidRPr="0078677C">
              <w:rPr>
                <w:rFonts w:ascii="Times New Roman" w:eastAsia="Times New Roman" w:hAnsi="Times New Roman" w:cs="Times New Roman"/>
                <w:i/>
                <w:iCs/>
                <w:sz w:val="20"/>
                <w:szCs w:val="20"/>
              </w:rPr>
              <w:t xml:space="preserve"> emissions (metric tons per capita)</w:t>
            </w:r>
          </w:p>
          <w:p w14:paraId="1F7BBA18" w14:textId="1229656A" w:rsidR="00904EE9" w:rsidRDefault="00227864" w:rsidP="00904EE9">
            <w:pPr>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410042874"/>
                <w14:checkbox>
                  <w14:checked w14:val="0"/>
                  <w14:checkedState w14:val="2612" w14:font="MS Gothic"/>
                  <w14:uncheckedState w14:val="2610" w14:font="MS Gothic"/>
                </w14:checkbox>
              </w:sdtPr>
              <w:sdtEndPr/>
              <w:sdtContent>
                <w:r w:rsidR="0029111F" w:rsidRPr="00E37BB1">
                  <w:rPr>
                    <w:rFonts w:ascii="Segoe UI Symbol" w:eastAsia="MS Gothic" w:hAnsi="Segoe UI Symbol" w:cs="Segoe UI Symbol"/>
                    <w:sz w:val="20"/>
                    <w:szCs w:val="20"/>
                  </w:rPr>
                  <w:t>☐</w:t>
                </w:r>
              </w:sdtContent>
            </w:sdt>
            <w:r w:rsidR="0029111F">
              <w:rPr>
                <w:rFonts w:ascii="Times New Roman" w:eastAsia="Times New Roman" w:hAnsi="Times New Roman" w:cs="Times New Roman"/>
                <w:sz w:val="20"/>
                <w:szCs w:val="20"/>
              </w:rPr>
              <w:t>N</w:t>
            </w:r>
            <w:r w:rsidR="006677F9">
              <w:rPr>
                <w:rFonts w:ascii="Times New Roman" w:eastAsia="Times New Roman" w:hAnsi="Times New Roman" w:cs="Times New Roman"/>
                <w:sz w:val="20"/>
                <w:szCs w:val="20"/>
              </w:rPr>
              <w:t>/A</w:t>
            </w:r>
          </w:p>
          <w:p w14:paraId="1BEA0699" w14:textId="77777777" w:rsidR="001C6F58" w:rsidRDefault="001C6F58" w:rsidP="00904EE9">
            <w:pPr>
              <w:spacing w:after="0" w:line="240" w:lineRule="auto"/>
              <w:ind w:right="75"/>
              <w:textAlignment w:val="baseline"/>
              <w:rPr>
                <w:rFonts w:ascii="Times New Roman" w:eastAsia="Times New Roman" w:hAnsi="Times New Roman" w:cs="Times New Roman"/>
                <w:sz w:val="20"/>
                <w:szCs w:val="20"/>
              </w:rPr>
            </w:pPr>
          </w:p>
          <w:p w14:paraId="2A51CB36" w14:textId="57597F76" w:rsidR="00830132" w:rsidRPr="00C31803" w:rsidRDefault="00830132" w:rsidP="00904EE9">
            <w:pPr>
              <w:spacing w:after="0" w:line="240" w:lineRule="auto"/>
              <w:ind w:right="75"/>
              <w:textAlignment w:val="baseline"/>
              <w:rPr>
                <w:rFonts w:ascii="Times New Roman" w:eastAsia="Times New Roman" w:hAnsi="Times New Roman" w:cs="Times New Roman"/>
                <w:sz w:val="20"/>
                <w:szCs w:val="20"/>
                <w:u w:val="single"/>
              </w:rPr>
            </w:pPr>
          </w:p>
        </w:tc>
      </w:tr>
      <w:tr w:rsidR="008D1D26" w:rsidRPr="0054513B" w14:paraId="0E1FAFB8" w14:textId="77777777" w:rsidTr="2BFF1B7A">
        <w:trPr>
          <w:trHeight w:val="426"/>
        </w:trPr>
        <w:tc>
          <w:tcPr>
            <w:tcW w:w="9621" w:type="dxa"/>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498F00D4" w14:textId="25B02B0C" w:rsidR="008D1D26" w:rsidRPr="0054513B" w:rsidRDefault="009F6DED" w:rsidP="00F8345F">
            <w:pPr>
              <w:spacing w:after="0" w:line="240" w:lineRule="auto"/>
              <w:ind w:left="90"/>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RATIONALE</w:t>
            </w:r>
          </w:p>
        </w:tc>
      </w:tr>
      <w:tr w:rsidR="008D1D26" w:rsidRPr="0054513B" w14:paraId="6979EBA6" w14:textId="77777777" w:rsidTr="2BFF1B7A">
        <w:trPr>
          <w:trHeight w:val="525"/>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0A4CC21" w14:textId="28541689" w:rsidR="008D1D26" w:rsidRPr="0054513B" w:rsidRDefault="008B1439">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Definition</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D380738" w14:textId="2A955946" w:rsidR="00593A78" w:rsidRPr="003431D3" w:rsidRDefault="0081403A" w:rsidP="00142E13">
            <w:pPr>
              <w:spacing w:after="0" w:line="240" w:lineRule="auto"/>
              <w:ind w:right="75"/>
              <w:jc w:val="both"/>
              <w:textAlignment w:val="baseline"/>
              <w:rPr>
                <w:rFonts w:ascii="Times New Roman" w:eastAsia="Times New Roman" w:hAnsi="Times New Roman" w:cs="Times New Roman"/>
                <w:sz w:val="20"/>
                <w:szCs w:val="20"/>
              </w:rPr>
            </w:pPr>
            <w:r w:rsidRPr="383DBB52">
              <w:rPr>
                <w:rFonts w:ascii="Times New Roman" w:eastAsia="Times New Roman" w:hAnsi="Times New Roman" w:cs="Times New Roman"/>
                <w:sz w:val="20"/>
                <w:szCs w:val="20"/>
              </w:rPr>
              <w:t xml:space="preserve">A measure of annual emissions of </w:t>
            </w:r>
            <w:r w:rsidR="000A007F" w:rsidRPr="383DBB52">
              <w:rPr>
                <w:rFonts w:ascii="Times New Roman" w:eastAsia="Times New Roman" w:hAnsi="Times New Roman" w:cs="Times New Roman"/>
                <w:sz w:val="20"/>
                <w:szCs w:val="20"/>
              </w:rPr>
              <w:t xml:space="preserve">greenhouse gasses (GHG) </w:t>
            </w:r>
            <w:r w:rsidR="003A37F4" w:rsidRPr="383DBB52">
              <w:rPr>
                <w:rFonts w:ascii="Times New Roman" w:eastAsia="Times New Roman" w:hAnsi="Times New Roman" w:cs="Times New Roman"/>
                <w:sz w:val="20"/>
                <w:szCs w:val="20"/>
              </w:rPr>
              <w:t>disaggregated</w:t>
            </w:r>
            <w:r w:rsidR="000A007F" w:rsidRPr="383DBB52">
              <w:rPr>
                <w:rFonts w:ascii="Times New Roman" w:eastAsia="Times New Roman" w:hAnsi="Times New Roman" w:cs="Times New Roman"/>
                <w:sz w:val="20"/>
                <w:szCs w:val="20"/>
              </w:rPr>
              <w:t xml:space="preserve"> </w:t>
            </w:r>
            <w:r w:rsidR="003A37F4" w:rsidRPr="383DBB52">
              <w:rPr>
                <w:rFonts w:ascii="Times New Roman" w:eastAsia="Times New Roman" w:hAnsi="Times New Roman" w:cs="Times New Roman"/>
                <w:sz w:val="20"/>
                <w:szCs w:val="20"/>
              </w:rPr>
              <w:t xml:space="preserve">at the global level </w:t>
            </w:r>
            <w:r w:rsidR="000A007F" w:rsidRPr="383DBB52">
              <w:rPr>
                <w:rFonts w:ascii="Times New Roman" w:eastAsia="Times New Roman" w:hAnsi="Times New Roman" w:cs="Times New Roman"/>
                <w:sz w:val="20"/>
                <w:szCs w:val="20"/>
              </w:rPr>
              <w:t>by four gas categories</w:t>
            </w:r>
            <w:r w:rsidR="00D00F0C" w:rsidRPr="383DBB52">
              <w:rPr>
                <w:rFonts w:ascii="Times New Roman" w:eastAsia="Times New Roman" w:hAnsi="Times New Roman" w:cs="Times New Roman"/>
                <w:sz w:val="20"/>
                <w:szCs w:val="20"/>
              </w:rPr>
              <w:t>—</w:t>
            </w:r>
            <w:r w:rsidRPr="383DBB52">
              <w:rPr>
                <w:rFonts w:ascii="Times New Roman" w:eastAsia="Times New Roman" w:hAnsi="Times New Roman" w:cs="Times New Roman"/>
                <w:sz w:val="20"/>
                <w:szCs w:val="20"/>
              </w:rPr>
              <w:t xml:space="preserve">carbon dioxide (CO2), methane (CH4), nitrous oxide (N2O), </w:t>
            </w:r>
            <w:r w:rsidR="003A37F4" w:rsidRPr="383DBB52">
              <w:rPr>
                <w:rFonts w:ascii="Times New Roman" w:eastAsia="Times New Roman" w:hAnsi="Times New Roman" w:cs="Times New Roman"/>
                <w:sz w:val="20"/>
                <w:szCs w:val="20"/>
              </w:rPr>
              <w:t>and F-gasses</w:t>
            </w:r>
            <w:r w:rsidR="00D00F0C" w:rsidRPr="383DBB52">
              <w:rPr>
                <w:rFonts w:ascii="Times New Roman" w:eastAsia="Times New Roman" w:hAnsi="Times New Roman" w:cs="Times New Roman"/>
                <w:sz w:val="20"/>
                <w:szCs w:val="20"/>
              </w:rPr>
              <w:t>—</w:t>
            </w:r>
            <w:r w:rsidR="000A007F" w:rsidRPr="383DBB52">
              <w:rPr>
                <w:rFonts w:ascii="Times New Roman" w:eastAsia="Times New Roman" w:hAnsi="Times New Roman" w:cs="Times New Roman"/>
                <w:sz w:val="20"/>
                <w:szCs w:val="20"/>
              </w:rPr>
              <w:t xml:space="preserve">and </w:t>
            </w:r>
            <w:r w:rsidR="003A37F4" w:rsidRPr="383DBB52">
              <w:rPr>
                <w:rFonts w:ascii="Times New Roman" w:eastAsia="Times New Roman" w:hAnsi="Times New Roman" w:cs="Times New Roman"/>
                <w:sz w:val="20"/>
                <w:szCs w:val="20"/>
              </w:rPr>
              <w:t xml:space="preserve">13 subsectors </w:t>
            </w:r>
            <w:r w:rsidR="00B464BC" w:rsidRPr="383DBB52">
              <w:rPr>
                <w:rFonts w:ascii="Times New Roman" w:eastAsia="Times New Roman" w:hAnsi="Times New Roman" w:cs="Times New Roman"/>
                <w:sz w:val="20"/>
                <w:szCs w:val="20"/>
              </w:rPr>
              <w:t>within</w:t>
            </w:r>
            <w:r w:rsidR="00F3282A" w:rsidRPr="383DBB52">
              <w:rPr>
                <w:rFonts w:ascii="Times New Roman" w:eastAsia="Times New Roman" w:hAnsi="Times New Roman" w:cs="Times New Roman"/>
                <w:sz w:val="20"/>
                <w:szCs w:val="20"/>
              </w:rPr>
              <w:t xml:space="preserve"> the energy, industry, waste, agriculture, and land use, land use change, and forestry</w:t>
            </w:r>
            <w:r w:rsidR="00AF06D4" w:rsidRPr="383DBB52">
              <w:rPr>
                <w:rFonts w:ascii="Times New Roman" w:eastAsia="Times New Roman" w:hAnsi="Times New Roman" w:cs="Times New Roman"/>
                <w:sz w:val="20"/>
                <w:szCs w:val="20"/>
              </w:rPr>
              <w:t xml:space="preserve"> (LULUCF)</w:t>
            </w:r>
            <w:r w:rsidR="00F3282A" w:rsidRPr="383DBB52">
              <w:rPr>
                <w:rFonts w:ascii="Times New Roman" w:eastAsia="Times New Roman" w:hAnsi="Times New Roman" w:cs="Times New Roman"/>
                <w:sz w:val="20"/>
                <w:szCs w:val="20"/>
              </w:rPr>
              <w:t xml:space="preserve"> sectors, standardized to carbon dioxide equivalent values. At the country level, data are </w:t>
            </w:r>
            <w:r w:rsidR="009B255F" w:rsidRPr="383DBB52">
              <w:rPr>
                <w:rFonts w:ascii="Times New Roman" w:eastAsia="Times New Roman" w:hAnsi="Times New Roman" w:cs="Times New Roman"/>
                <w:sz w:val="20"/>
                <w:szCs w:val="20"/>
              </w:rPr>
              <w:t xml:space="preserve">further </w:t>
            </w:r>
            <w:r w:rsidR="00F3282A" w:rsidRPr="383DBB52">
              <w:rPr>
                <w:rFonts w:ascii="Times New Roman" w:eastAsia="Times New Roman" w:hAnsi="Times New Roman" w:cs="Times New Roman"/>
                <w:sz w:val="20"/>
                <w:szCs w:val="20"/>
              </w:rPr>
              <w:t xml:space="preserve">disaggregated </w:t>
            </w:r>
            <w:r w:rsidR="005929A0" w:rsidRPr="383DBB52">
              <w:rPr>
                <w:rFonts w:ascii="Times New Roman" w:eastAsia="Times New Roman" w:hAnsi="Times New Roman" w:cs="Times New Roman"/>
                <w:sz w:val="20"/>
                <w:szCs w:val="20"/>
              </w:rPr>
              <w:t xml:space="preserve">by </w:t>
            </w:r>
            <w:r w:rsidRPr="383DBB52">
              <w:rPr>
                <w:rFonts w:ascii="Times New Roman" w:eastAsia="Times New Roman" w:hAnsi="Times New Roman" w:cs="Times New Roman"/>
                <w:sz w:val="20"/>
                <w:szCs w:val="20"/>
              </w:rPr>
              <w:t>the six greenhouse gases covered by the Kyoto Protocol</w:t>
            </w:r>
            <w:r w:rsidR="00D1557C" w:rsidRPr="383DBB52">
              <w:rPr>
                <w:rFonts w:ascii="Times New Roman" w:eastAsia="Times New Roman" w:hAnsi="Times New Roman" w:cs="Times New Roman"/>
                <w:sz w:val="20"/>
                <w:szCs w:val="20"/>
              </w:rPr>
              <w:t>—</w:t>
            </w:r>
            <w:r w:rsidRPr="383DBB52">
              <w:rPr>
                <w:rFonts w:ascii="Times New Roman" w:eastAsia="Times New Roman" w:hAnsi="Times New Roman" w:cs="Times New Roman"/>
                <w:sz w:val="20"/>
                <w:szCs w:val="20"/>
              </w:rPr>
              <w:t>CO2, CH4, N2O</w:t>
            </w:r>
            <w:r w:rsidR="00D1557C" w:rsidRPr="383DBB52">
              <w:rPr>
                <w:rFonts w:ascii="Times New Roman" w:eastAsia="Times New Roman" w:hAnsi="Times New Roman" w:cs="Times New Roman"/>
                <w:sz w:val="20"/>
                <w:szCs w:val="20"/>
              </w:rPr>
              <w:t>,</w:t>
            </w:r>
            <w:r w:rsidRPr="383DBB52">
              <w:rPr>
                <w:rFonts w:ascii="Times New Roman" w:eastAsia="Times New Roman" w:hAnsi="Times New Roman" w:cs="Times New Roman"/>
                <w:sz w:val="20"/>
                <w:szCs w:val="20"/>
              </w:rPr>
              <w:t xml:space="preserve"> hydrofluorocarbons (HFCs), perfluorocarbons (PFCs), and </w:t>
            </w:r>
            <w:proofErr w:type="spellStart"/>
            <w:r w:rsidRPr="383DBB52">
              <w:rPr>
                <w:rFonts w:ascii="Times New Roman" w:eastAsia="Times New Roman" w:hAnsi="Times New Roman" w:cs="Times New Roman"/>
                <w:sz w:val="20"/>
                <w:szCs w:val="20"/>
              </w:rPr>
              <w:t>sulphurhexafluoride</w:t>
            </w:r>
            <w:proofErr w:type="spellEnd"/>
            <w:r w:rsidRPr="383DBB52">
              <w:rPr>
                <w:rFonts w:ascii="Times New Roman" w:eastAsia="Times New Roman" w:hAnsi="Times New Roman" w:cs="Times New Roman"/>
                <w:sz w:val="20"/>
                <w:szCs w:val="20"/>
              </w:rPr>
              <w:t xml:space="preserve"> (SF6)</w:t>
            </w:r>
            <w:r w:rsidR="00D1557C" w:rsidRPr="383DBB52">
              <w:rPr>
                <w:rFonts w:ascii="Times New Roman" w:eastAsia="Times New Roman" w:hAnsi="Times New Roman" w:cs="Times New Roman"/>
                <w:sz w:val="20"/>
                <w:szCs w:val="20"/>
              </w:rPr>
              <w:t>—</w:t>
            </w:r>
            <w:r w:rsidR="7760789C" w:rsidRPr="383DBB52">
              <w:rPr>
                <w:rFonts w:ascii="Times New Roman" w:eastAsia="Times New Roman" w:hAnsi="Times New Roman" w:cs="Times New Roman"/>
                <w:sz w:val="20"/>
                <w:szCs w:val="20"/>
              </w:rPr>
              <w:t xml:space="preserve">plus </w:t>
            </w:r>
            <w:r w:rsidR="00734737" w:rsidRPr="383DBB52">
              <w:rPr>
                <w:rFonts w:ascii="Times New Roman" w:eastAsia="Times New Roman" w:hAnsi="Times New Roman" w:cs="Times New Roman"/>
                <w:sz w:val="20"/>
                <w:szCs w:val="20"/>
              </w:rPr>
              <w:t>hydrochlorofluorocarbons (</w:t>
            </w:r>
            <w:r w:rsidR="7760789C" w:rsidRPr="383DBB52">
              <w:rPr>
                <w:rFonts w:ascii="Times New Roman" w:eastAsia="Times New Roman" w:hAnsi="Times New Roman" w:cs="Times New Roman"/>
                <w:sz w:val="20"/>
                <w:szCs w:val="20"/>
              </w:rPr>
              <w:t>HCFC</w:t>
            </w:r>
            <w:r w:rsidR="00734737" w:rsidRPr="383DBB52">
              <w:rPr>
                <w:rFonts w:ascii="Times New Roman" w:eastAsia="Times New Roman" w:hAnsi="Times New Roman" w:cs="Times New Roman"/>
                <w:sz w:val="20"/>
                <w:szCs w:val="20"/>
              </w:rPr>
              <w:t>s)</w:t>
            </w:r>
            <w:r w:rsidRPr="383DBB52">
              <w:rPr>
                <w:rFonts w:ascii="Times New Roman" w:eastAsia="Times New Roman" w:hAnsi="Times New Roman" w:cs="Times New Roman"/>
                <w:sz w:val="20"/>
                <w:szCs w:val="20"/>
              </w:rPr>
              <w:t xml:space="preserve"> </w:t>
            </w:r>
            <w:r w:rsidR="00B703CC" w:rsidRPr="383DBB52">
              <w:rPr>
                <w:rFonts w:ascii="Times New Roman" w:eastAsia="Times New Roman" w:hAnsi="Times New Roman" w:cs="Times New Roman"/>
                <w:sz w:val="20"/>
                <w:szCs w:val="20"/>
              </w:rPr>
              <w:t xml:space="preserve">and </w:t>
            </w:r>
            <w:r w:rsidR="000A1BDB" w:rsidRPr="383DBB52">
              <w:rPr>
                <w:rFonts w:ascii="Times New Roman" w:eastAsia="Times New Roman" w:hAnsi="Times New Roman" w:cs="Times New Roman"/>
                <w:sz w:val="20"/>
                <w:szCs w:val="20"/>
              </w:rPr>
              <w:t>nitrogen trifluoride (NF3)</w:t>
            </w:r>
            <w:r w:rsidR="00B32087" w:rsidRPr="383DBB52">
              <w:rPr>
                <w:rFonts w:ascii="Times New Roman" w:eastAsia="Times New Roman" w:hAnsi="Times New Roman" w:cs="Times New Roman"/>
                <w:sz w:val="20"/>
                <w:szCs w:val="20"/>
              </w:rPr>
              <w:t xml:space="preserve"> and </w:t>
            </w:r>
            <w:r w:rsidR="004E07DB" w:rsidRPr="00D535BF">
              <w:rPr>
                <w:rFonts w:ascii="Times New Roman" w:eastAsia="Times New Roman" w:hAnsi="Times New Roman" w:cs="Times New Roman"/>
                <w:sz w:val="20"/>
                <w:szCs w:val="20"/>
              </w:rPr>
              <w:t>19</w:t>
            </w:r>
            <w:r w:rsidR="00B32087" w:rsidRPr="383DBB52">
              <w:rPr>
                <w:rFonts w:ascii="Times New Roman" w:eastAsia="Times New Roman" w:hAnsi="Times New Roman" w:cs="Times New Roman"/>
                <w:sz w:val="20"/>
                <w:szCs w:val="20"/>
              </w:rPr>
              <w:t xml:space="preserve"> subsectors </w:t>
            </w:r>
            <w:r w:rsidR="00CE7A6B" w:rsidRPr="383DBB52">
              <w:rPr>
                <w:rFonts w:ascii="Times New Roman" w:eastAsia="Times New Roman" w:hAnsi="Times New Roman" w:cs="Times New Roman"/>
                <w:sz w:val="20"/>
                <w:szCs w:val="20"/>
              </w:rPr>
              <w:t xml:space="preserve">that further </w:t>
            </w:r>
            <w:r w:rsidR="00B32087" w:rsidRPr="383DBB52">
              <w:rPr>
                <w:rFonts w:ascii="Times New Roman" w:eastAsia="Times New Roman" w:hAnsi="Times New Roman" w:cs="Times New Roman"/>
                <w:sz w:val="20"/>
                <w:szCs w:val="20"/>
              </w:rPr>
              <w:t xml:space="preserve">disaggregate </w:t>
            </w:r>
            <w:r w:rsidR="00CE7A6B" w:rsidRPr="383DBB52">
              <w:rPr>
                <w:rFonts w:ascii="Times New Roman" w:eastAsia="Times New Roman" w:hAnsi="Times New Roman" w:cs="Times New Roman"/>
                <w:sz w:val="20"/>
                <w:szCs w:val="20"/>
              </w:rPr>
              <w:t xml:space="preserve">the </w:t>
            </w:r>
            <w:r w:rsidR="00B32087" w:rsidRPr="383DBB52">
              <w:rPr>
                <w:rFonts w:ascii="Times New Roman" w:eastAsia="Times New Roman" w:hAnsi="Times New Roman" w:cs="Times New Roman"/>
                <w:sz w:val="20"/>
                <w:szCs w:val="20"/>
              </w:rPr>
              <w:t xml:space="preserve">agriculture </w:t>
            </w:r>
            <w:r w:rsidR="006446C9" w:rsidRPr="383DBB52">
              <w:rPr>
                <w:rFonts w:ascii="Times New Roman" w:eastAsia="Times New Roman" w:hAnsi="Times New Roman" w:cs="Times New Roman"/>
                <w:sz w:val="20"/>
                <w:szCs w:val="20"/>
              </w:rPr>
              <w:t xml:space="preserve">and the waste </w:t>
            </w:r>
            <w:r w:rsidR="00B32087" w:rsidRPr="383DBB52">
              <w:rPr>
                <w:rFonts w:ascii="Times New Roman" w:eastAsia="Times New Roman" w:hAnsi="Times New Roman" w:cs="Times New Roman"/>
                <w:sz w:val="20"/>
                <w:szCs w:val="20"/>
              </w:rPr>
              <w:t>sector</w:t>
            </w:r>
            <w:r w:rsidR="005929A0" w:rsidRPr="383DBB52">
              <w:rPr>
                <w:rFonts w:ascii="Times New Roman" w:eastAsia="Times New Roman" w:hAnsi="Times New Roman" w:cs="Times New Roman"/>
                <w:sz w:val="20"/>
                <w:szCs w:val="20"/>
              </w:rPr>
              <w:t>.</w:t>
            </w:r>
            <w:r w:rsidRPr="383DBB52">
              <w:rPr>
                <w:rFonts w:ascii="Times New Roman" w:eastAsia="Times New Roman" w:hAnsi="Times New Roman" w:cs="Times New Roman"/>
                <w:sz w:val="20"/>
                <w:szCs w:val="20"/>
              </w:rPr>
              <w:t xml:space="preserve"> </w:t>
            </w:r>
          </w:p>
        </w:tc>
      </w:tr>
      <w:tr w:rsidR="008D1D26" w:rsidRPr="0054513B" w14:paraId="0FC2A80C" w14:textId="77777777" w:rsidTr="2BFF1B7A">
        <w:trPr>
          <w:trHeight w:val="72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74DF613" w14:textId="77777777" w:rsidR="00E71392"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Development</w:t>
            </w:r>
          </w:p>
          <w:p w14:paraId="05522656" w14:textId="6D5E5774" w:rsidR="008D1D26" w:rsidRPr="0054513B"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Relevance</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DAF361" w14:textId="77777777" w:rsidR="001A2CFD" w:rsidRDefault="001A2CFD"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3E9A0C37" w14:textId="36114AF7" w:rsidR="008D1D26" w:rsidRPr="00BB4758" w:rsidRDefault="008D1D26" w:rsidP="00142E13">
            <w:pPr>
              <w:spacing w:after="0" w:line="240" w:lineRule="auto"/>
              <w:ind w:right="75"/>
              <w:jc w:val="both"/>
              <w:textAlignment w:val="baseline"/>
              <w:rPr>
                <w:rFonts w:ascii="Times New Roman" w:eastAsia="Times New Roman" w:hAnsi="Times New Roman" w:cs="Times New Roman"/>
                <w:b/>
                <w:bCs/>
                <w:i/>
                <w:iCs/>
                <w:color w:val="000000"/>
                <w:sz w:val="20"/>
                <w:szCs w:val="20"/>
              </w:rPr>
            </w:pPr>
            <w:r w:rsidRPr="00BB4758">
              <w:rPr>
                <w:rFonts w:ascii="Times New Roman" w:eastAsia="Times New Roman" w:hAnsi="Times New Roman" w:cs="Times New Roman"/>
                <w:b/>
                <w:bCs/>
                <w:i/>
                <w:iCs/>
                <w:color w:val="000000"/>
                <w:sz w:val="20"/>
                <w:szCs w:val="20"/>
              </w:rPr>
              <w:t xml:space="preserve">Outline the indicator’s </w:t>
            </w:r>
            <w:r w:rsidR="00FB41D5" w:rsidRPr="00BB4758">
              <w:rPr>
                <w:rFonts w:ascii="Times New Roman" w:eastAsia="Times New Roman" w:hAnsi="Times New Roman" w:cs="Times New Roman"/>
                <w:b/>
                <w:bCs/>
                <w:i/>
                <w:iCs/>
                <w:color w:val="000000"/>
                <w:sz w:val="20"/>
                <w:szCs w:val="20"/>
              </w:rPr>
              <w:t xml:space="preserve">relevance with respect to the </w:t>
            </w:r>
            <w:r w:rsidR="000D5DAB" w:rsidRPr="00BB4758">
              <w:rPr>
                <w:rFonts w:ascii="Times New Roman" w:eastAsia="Times New Roman" w:hAnsi="Times New Roman" w:cs="Times New Roman"/>
                <w:b/>
                <w:bCs/>
                <w:i/>
                <w:iCs/>
                <w:color w:val="000000"/>
                <w:sz w:val="20"/>
                <w:szCs w:val="20"/>
              </w:rPr>
              <w:t xml:space="preserve">WBG’s new vision and mission as well as principles such as </w:t>
            </w:r>
            <w:r w:rsidR="0080575A" w:rsidRPr="00BB4758">
              <w:rPr>
                <w:rFonts w:ascii="Times New Roman" w:eastAsia="Times New Roman" w:hAnsi="Times New Roman" w:cs="Times New Roman"/>
                <w:b/>
                <w:bCs/>
                <w:i/>
                <w:iCs/>
                <w:color w:val="000000"/>
                <w:sz w:val="20"/>
                <w:szCs w:val="20"/>
              </w:rPr>
              <w:t>data availability/coverage, technical rigor, amenability to regular updating, SDG alignment, etc.</w:t>
            </w:r>
          </w:p>
          <w:p w14:paraId="5D2D88B5" w14:textId="77777777" w:rsidR="0098683A" w:rsidRDefault="0098683A"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1552A456" w14:textId="7A7F64B2" w:rsidR="00E9243B" w:rsidRPr="003431D3" w:rsidRDefault="00161784" w:rsidP="00E9243B">
            <w:pPr>
              <w:spacing w:after="0" w:line="240" w:lineRule="auto"/>
              <w:ind w:right="75"/>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Because of its effect on the climate and thus on development, g</w:t>
            </w:r>
            <w:r w:rsidR="00E9243B" w:rsidRPr="003431D3">
              <w:rPr>
                <w:rFonts w:ascii="Times New Roman" w:eastAsia="Times New Roman" w:hAnsi="Times New Roman" w:cs="Times New Roman"/>
                <w:color w:val="000000"/>
                <w:sz w:val="20"/>
                <w:szCs w:val="20"/>
              </w:rPr>
              <w:t xml:space="preserve">lobal greenhouse gas (GHG) emissions </w:t>
            </w:r>
            <w:proofErr w:type="gramStart"/>
            <w:r w:rsidR="00E9243B" w:rsidRPr="003431D3">
              <w:rPr>
                <w:rFonts w:ascii="Times New Roman" w:eastAsia="Times New Roman" w:hAnsi="Times New Roman" w:cs="Times New Roman"/>
                <w:color w:val="000000"/>
                <w:sz w:val="20"/>
                <w:szCs w:val="20"/>
              </w:rPr>
              <w:t>is</w:t>
            </w:r>
            <w:proofErr w:type="gramEnd"/>
            <w:r w:rsidR="00E9243B" w:rsidRPr="003431D3">
              <w:rPr>
                <w:rFonts w:ascii="Times New Roman" w:eastAsia="Times New Roman" w:hAnsi="Times New Roman" w:cs="Times New Roman"/>
                <w:color w:val="000000"/>
                <w:sz w:val="20"/>
                <w:szCs w:val="20"/>
              </w:rPr>
              <w:t xml:space="preserve"> a relevant indicator to the WBG’s new vision to create a world free of poverty on a livable planet because of its effect on the climate and thus development. Human-induced GHG emissions are driving atmospheric concentration increases and atmospheric warming, which is leading to a myriad of climatic changes. Climate change is already causing more frequent and extreme weather events and higher temperatures globally, leading to large impacts across the globe and particularly in developing countries that often have a limited means to adapt and build resilience. The international scientific community has warned that emissions need to decline to net zero by the middle of the 21st century to limit global warming to well below a 2deg C increase and help avoid the most consequential climate change impacts. </w:t>
            </w:r>
          </w:p>
          <w:p w14:paraId="6AE6C17B"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CFF22E5" w14:textId="721A7E4C"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WBG-supported development must be aligned to the low-emissions development transition. The World Bank has committed to aligning its activities to the goals of the Paris Agreement, including limiting average global warming to 1.5 deg</w:t>
            </w:r>
            <w:r w:rsidR="0004729E">
              <w:rPr>
                <w:rFonts w:ascii="Times New Roman" w:eastAsia="Times New Roman" w:hAnsi="Times New Roman" w:cs="Times New Roman"/>
                <w:color w:val="000000"/>
                <w:sz w:val="20"/>
                <w:szCs w:val="20"/>
              </w:rPr>
              <w:t>ree</w:t>
            </w:r>
            <w:r w:rsidRPr="003431D3">
              <w:rPr>
                <w:rFonts w:ascii="Times New Roman" w:eastAsia="Times New Roman" w:hAnsi="Times New Roman" w:cs="Times New Roman"/>
                <w:color w:val="000000"/>
                <w:sz w:val="20"/>
                <w:szCs w:val="20"/>
              </w:rPr>
              <w:t xml:space="preserve"> C</w:t>
            </w:r>
            <w:r w:rsidR="0004729E">
              <w:rPr>
                <w:rFonts w:ascii="Times New Roman" w:eastAsia="Times New Roman" w:hAnsi="Times New Roman" w:cs="Times New Roman"/>
                <w:color w:val="000000"/>
                <w:sz w:val="20"/>
                <w:szCs w:val="20"/>
              </w:rPr>
              <w:t>elsius</w:t>
            </w:r>
            <w:r w:rsidRPr="003431D3">
              <w:rPr>
                <w:rFonts w:ascii="Times New Roman" w:eastAsia="Times New Roman" w:hAnsi="Times New Roman" w:cs="Times New Roman"/>
                <w:color w:val="000000"/>
                <w:sz w:val="20"/>
                <w:szCs w:val="20"/>
              </w:rPr>
              <w:t xml:space="preserve">. </w:t>
            </w:r>
            <w:r w:rsidR="00140F4C">
              <w:rPr>
                <w:rFonts w:ascii="Times New Roman" w:eastAsia="Times New Roman" w:hAnsi="Times New Roman" w:cs="Times New Roman"/>
                <w:color w:val="000000"/>
                <w:sz w:val="20"/>
                <w:szCs w:val="20"/>
              </w:rPr>
              <w:t>G</w:t>
            </w:r>
            <w:r w:rsidRPr="003431D3">
              <w:rPr>
                <w:rFonts w:ascii="Times New Roman" w:eastAsia="Times New Roman" w:hAnsi="Times New Roman" w:cs="Times New Roman"/>
                <w:color w:val="000000"/>
                <w:sz w:val="20"/>
                <w:szCs w:val="20"/>
              </w:rPr>
              <w:t>lobal</w:t>
            </w:r>
            <w:r w:rsidR="00A63308">
              <w:rPr>
                <w:rFonts w:ascii="Times New Roman" w:eastAsia="Times New Roman" w:hAnsi="Times New Roman" w:cs="Times New Roman"/>
                <w:color w:val="000000"/>
                <w:sz w:val="20"/>
                <w:szCs w:val="20"/>
              </w:rPr>
              <w:t>-</w:t>
            </w:r>
            <w:r w:rsidRPr="003431D3">
              <w:rPr>
                <w:rFonts w:ascii="Times New Roman" w:eastAsia="Times New Roman" w:hAnsi="Times New Roman" w:cs="Times New Roman"/>
                <w:color w:val="000000"/>
                <w:sz w:val="20"/>
                <w:szCs w:val="20"/>
              </w:rPr>
              <w:t>, regional</w:t>
            </w:r>
            <w:r w:rsidR="00A63308">
              <w:rPr>
                <w:rFonts w:ascii="Times New Roman" w:eastAsia="Times New Roman" w:hAnsi="Times New Roman" w:cs="Times New Roman"/>
                <w:color w:val="000000"/>
                <w:sz w:val="20"/>
                <w:szCs w:val="20"/>
              </w:rPr>
              <w:t>-</w:t>
            </w:r>
            <w:r w:rsidRPr="003431D3">
              <w:rPr>
                <w:rFonts w:ascii="Times New Roman" w:eastAsia="Times New Roman" w:hAnsi="Times New Roman" w:cs="Times New Roman"/>
                <w:color w:val="000000"/>
                <w:sz w:val="20"/>
                <w:szCs w:val="20"/>
              </w:rPr>
              <w:t>, and country</w:t>
            </w:r>
            <w:r w:rsidR="00A63308">
              <w:rPr>
                <w:rFonts w:ascii="Times New Roman" w:eastAsia="Times New Roman" w:hAnsi="Times New Roman" w:cs="Times New Roman"/>
                <w:color w:val="000000"/>
                <w:sz w:val="20"/>
                <w:szCs w:val="20"/>
              </w:rPr>
              <w:t>-</w:t>
            </w:r>
            <w:r w:rsidRPr="003431D3">
              <w:rPr>
                <w:rFonts w:ascii="Times New Roman" w:eastAsia="Times New Roman" w:hAnsi="Times New Roman" w:cs="Times New Roman"/>
                <w:color w:val="000000"/>
                <w:sz w:val="20"/>
                <w:szCs w:val="20"/>
              </w:rPr>
              <w:t>level emissions levels provide relevant context for the design and tracking of WBG compliance with this requirement.</w:t>
            </w:r>
          </w:p>
          <w:p w14:paraId="1C9B7AE5"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74867CA" w14:textId="5D5E6711" w:rsidR="001A2CFD" w:rsidRPr="0054513B" w:rsidRDefault="00A63308" w:rsidP="00E9243B">
            <w:pPr>
              <w:spacing w:after="0" w:line="240" w:lineRule="auto"/>
              <w:ind w:right="75"/>
              <w:jc w:val="both"/>
              <w:textAlignment w:val="baseline"/>
              <w:rPr>
                <w:rFonts w:ascii="Times New Roman" w:eastAsia="Times New Roman" w:hAnsi="Times New Roman" w:cs="Times New Roman"/>
                <w:i/>
                <w:iCs/>
                <w:color w:val="000000"/>
                <w:sz w:val="20"/>
                <w:szCs w:val="20"/>
              </w:rPr>
            </w:pPr>
            <w:r>
              <w:rPr>
                <w:rFonts w:ascii="Times New Roman" w:eastAsia="Times New Roman" w:hAnsi="Times New Roman" w:cs="Times New Roman"/>
                <w:color w:val="000000" w:themeColor="text1"/>
                <w:sz w:val="20"/>
                <w:szCs w:val="20"/>
              </w:rPr>
              <w:t>D</w:t>
            </w:r>
            <w:r w:rsidR="00E9243B" w:rsidRPr="4345DE90">
              <w:rPr>
                <w:rFonts w:ascii="Times New Roman" w:eastAsia="Times New Roman" w:hAnsi="Times New Roman" w:cs="Times New Roman"/>
                <w:color w:val="000000" w:themeColor="text1"/>
                <w:sz w:val="20"/>
                <w:szCs w:val="20"/>
              </w:rPr>
              <w:t xml:space="preserve">ifferent data sources </w:t>
            </w:r>
            <w:r w:rsidR="00983DD4">
              <w:rPr>
                <w:rFonts w:ascii="Times New Roman" w:eastAsia="Times New Roman" w:hAnsi="Times New Roman" w:cs="Times New Roman"/>
                <w:color w:val="000000" w:themeColor="text1"/>
                <w:sz w:val="20"/>
                <w:szCs w:val="20"/>
              </w:rPr>
              <w:t>can</w:t>
            </w:r>
            <w:r w:rsidR="00932119" w:rsidRPr="4345DE90">
              <w:rPr>
                <w:rFonts w:ascii="Times New Roman" w:eastAsia="Times New Roman" w:hAnsi="Times New Roman" w:cs="Times New Roman"/>
                <w:color w:val="000000" w:themeColor="text1"/>
                <w:sz w:val="20"/>
                <w:szCs w:val="20"/>
              </w:rPr>
              <w:t xml:space="preserve"> be used to derive an indicator of global and country </w:t>
            </w:r>
            <w:r w:rsidR="006D3CB0">
              <w:rPr>
                <w:rFonts w:ascii="Times New Roman" w:eastAsia="Times New Roman" w:hAnsi="Times New Roman" w:cs="Times New Roman"/>
                <w:color w:val="000000" w:themeColor="text1"/>
                <w:sz w:val="20"/>
                <w:szCs w:val="20"/>
              </w:rPr>
              <w:t xml:space="preserve">anthropogenic </w:t>
            </w:r>
            <w:r w:rsidR="00A7293B" w:rsidRPr="4345DE90">
              <w:rPr>
                <w:rFonts w:ascii="Times New Roman" w:eastAsia="Times New Roman" w:hAnsi="Times New Roman" w:cs="Times New Roman"/>
                <w:color w:val="000000" w:themeColor="text1"/>
                <w:sz w:val="20"/>
                <w:szCs w:val="20"/>
              </w:rPr>
              <w:t>GHG emissions</w:t>
            </w:r>
            <w:r w:rsidR="00E9243B" w:rsidRPr="4345DE90">
              <w:rPr>
                <w:rFonts w:ascii="Times New Roman" w:eastAsia="Times New Roman" w:hAnsi="Times New Roman" w:cs="Times New Roman"/>
                <w:color w:val="000000" w:themeColor="text1"/>
                <w:sz w:val="20"/>
                <w:szCs w:val="20"/>
              </w:rPr>
              <w:t xml:space="preserve">. To be consistent with the urgency of emissions reduction and to best reflect global progress on emissions reduction, this indicator is based on data that are as up to date as possible and permit meaningful, annual updates. </w:t>
            </w:r>
            <w:r w:rsidR="001E3D00" w:rsidRPr="4345DE90">
              <w:rPr>
                <w:rFonts w:ascii="Times New Roman" w:eastAsia="Times New Roman" w:hAnsi="Times New Roman" w:cs="Times New Roman"/>
                <w:color w:val="000000" w:themeColor="text1"/>
                <w:sz w:val="20"/>
                <w:szCs w:val="20"/>
              </w:rPr>
              <w:t xml:space="preserve">The global estimate is based on data that </w:t>
            </w:r>
            <w:r w:rsidR="00CD5E35" w:rsidRPr="4345DE90">
              <w:rPr>
                <w:rFonts w:ascii="Times New Roman" w:eastAsia="Times New Roman" w:hAnsi="Times New Roman" w:cs="Times New Roman"/>
                <w:color w:val="000000" w:themeColor="text1"/>
                <w:sz w:val="20"/>
                <w:szCs w:val="20"/>
              </w:rPr>
              <w:t>provide a uniform and consistent estimation of emissions</w:t>
            </w:r>
            <w:r w:rsidR="00A44FBE" w:rsidRPr="4345DE90">
              <w:rPr>
                <w:rFonts w:ascii="Times New Roman" w:eastAsia="Times New Roman" w:hAnsi="Times New Roman" w:cs="Times New Roman"/>
                <w:color w:val="000000" w:themeColor="text1"/>
                <w:sz w:val="20"/>
                <w:szCs w:val="20"/>
              </w:rPr>
              <w:t xml:space="preserve">, whereas the country estimates are </w:t>
            </w:r>
            <w:r w:rsidR="006B7E64" w:rsidRPr="4345DE90">
              <w:rPr>
                <w:rFonts w:ascii="Times New Roman" w:eastAsia="Times New Roman" w:hAnsi="Times New Roman" w:cs="Times New Roman"/>
                <w:color w:val="000000" w:themeColor="text1"/>
                <w:sz w:val="20"/>
                <w:szCs w:val="20"/>
              </w:rPr>
              <w:t xml:space="preserve">based </w:t>
            </w:r>
            <w:r w:rsidR="00A44FBE" w:rsidRPr="4345DE90">
              <w:rPr>
                <w:rFonts w:ascii="Times New Roman" w:eastAsia="Times New Roman" w:hAnsi="Times New Roman" w:cs="Times New Roman"/>
                <w:color w:val="000000" w:themeColor="text1"/>
                <w:sz w:val="20"/>
                <w:szCs w:val="20"/>
              </w:rPr>
              <w:t xml:space="preserve">data derived more closely from </w:t>
            </w:r>
            <w:r w:rsidR="006B7E64" w:rsidRPr="4345DE90">
              <w:rPr>
                <w:rFonts w:ascii="Times New Roman" w:eastAsia="Times New Roman" w:hAnsi="Times New Roman" w:cs="Times New Roman"/>
                <w:color w:val="000000" w:themeColor="text1"/>
                <w:sz w:val="20"/>
                <w:szCs w:val="20"/>
              </w:rPr>
              <w:t>country-submitted estimates</w:t>
            </w:r>
            <w:r w:rsidR="00AF1283" w:rsidRPr="4345DE90">
              <w:rPr>
                <w:rFonts w:ascii="Times New Roman" w:eastAsia="Times New Roman" w:hAnsi="Times New Roman" w:cs="Times New Roman"/>
                <w:color w:val="000000" w:themeColor="text1"/>
                <w:sz w:val="20"/>
                <w:szCs w:val="20"/>
              </w:rPr>
              <w:t xml:space="preserve"> </w:t>
            </w:r>
            <w:r w:rsidR="00887D00" w:rsidRPr="4345DE90">
              <w:rPr>
                <w:rFonts w:ascii="Times New Roman" w:eastAsia="Times New Roman" w:hAnsi="Times New Roman" w:cs="Times New Roman"/>
                <w:color w:val="000000" w:themeColor="text1"/>
                <w:sz w:val="20"/>
                <w:szCs w:val="20"/>
              </w:rPr>
              <w:t xml:space="preserve">for the LULUCF subsectors </w:t>
            </w:r>
            <w:r w:rsidR="00AF1283" w:rsidRPr="4345DE90">
              <w:rPr>
                <w:rFonts w:ascii="Times New Roman" w:eastAsia="Times New Roman" w:hAnsi="Times New Roman" w:cs="Times New Roman"/>
                <w:color w:val="000000" w:themeColor="text1"/>
                <w:sz w:val="20"/>
                <w:szCs w:val="20"/>
              </w:rPr>
              <w:t xml:space="preserve">and </w:t>
            </w:r>
            <w:r w:rsidR="00030132">
              <w:rPr>
                <w:rFonts w:ascii="Times New Roman" w:eastAsia="Times New Roman" w:hAnsi="Times New Roman" w:cs="Times New Roman"/>
                <w:color w:val="000000" w:themeColor="text1"/>
                <w:sz w:val="20"/>
                <w:szCs w:val="20"/>
              </w:rPr>
              <w:t xml:space="preserve">that </w:t>
            </w:r>
            <w:r w:rsidR="00AF1283" w:rsidRPr="4345DE90">
              <w:rPr>
                <w:rFonts w:ascii="Times New Roman" w:eastAsia="Times New Roman" w:hAnsi="Times New Roman" w:cs="Times New Roman"/>
                <w:color w:val="000000" w:themeColor="text1"/>
                <w:sz w:val="20"/>
                <w:szCs w:val="20"/>
              </w:rPr>
              <w:t>include further sectoral and GHG disaggregation</w:t>
            </w:r>
            <w:r w:rsidR="00A44FBE" w:rsidRPr="4345DE90">
              <w:rPr>
                <w:rFonts w:ascii="Times New Roman" w:eastAsia="Times New Roman" w:hAnsi="Times New Roman" w:cs="Times New Roman"/>
                <w:color w:val="000000" w:themeColor="text1"/>
                <w:sz w:val="20"/>
                <w:szCs w:val="20"/>
              </w:rPr>
              <w:t xml:space="preserve">. </w:t>
            </w:r>
            <w:r w:rsidR="00AF1283" w:rsidRPr="4345DE90">
              <w:rPr>
                <w:rFonts w:ascii="Times New Roman" w:eastAsia="Times New Roman" w:hAnsi="Times New Roman" w:cs="Times New Roman"/>
                <w:color w:val="000000" w:themeColor="text1"/>
                <w:sz w:val="20"/>
                <w:szCs w:val="20"/>
              </w:rPr>
              <w:t xml:space="preserve">This approach </w:t>
            </w:r>
            <w:r w:rsidR="00E9243B" w:rsidRPr="4345DE90">
              <w:rPr>
                <w:rFonts w:ascii="Times New Roman" w:eastAsia="Times New Roman" w:hAnsi="Times New Roman" w:cs="Times New Roman"/>
                <w:color w:val="000000" w:themeColor="text1"/>
                <w:sz w:val="20"/>
                <w:szCs w:val="20"/>
              </w:rPr>
              <w:t>permit</w:t>
            </w:r>
            <w:r w:rsidR="00BA1B72" w:rsidRPr="4345DE90">
              <w:rPr>
                <w:rFonts w:ascii="Times New Roman" w:eastAsia="Times New Roman" w:hAnsi="Times New Roman" w:cs="Times New Roman"/>
                <w:color w:val="000000" w:themeColor="text1"/>
                <w:sz w:val="20"/>
                <w:szCs w:val="20"/>
              </w:rPr>
              <w:t>s</w:t>
            </w:r>
            <w:r w:rsidR="00E9243B" w:rsidRPr="4345DE90">
              <w:rPr>
                <w:rFonts w:ascii="Times New Roman" w:eastAsia="Times New Roman" w:hAnsi="Times New Roman" w:cs="Times New Roman"/>
                <w:color w:val="000000" w:themeColor="text1"/>
                <w:sz w:val="20"/>
                <w:szCs w:val="20"/>
              </w:rPr>
              <w:t xml:space="preserve"> </w:t>
            </w:r>
            <w:r w:rsidR="00887D00" w:rsidRPr="4345DE90">
              <w:rPr>
                <w:rFonts w:ascii="Times New Roman" w:eastAsia="Times New Roman" w:hAnsi="Times New Roman" w:cs="Times New Roman"/>
                <w:color w:val="000000" w:themeColor="text1"/>
                <w:sz w:val="20"/>
                <w:szCs w:val="20"/>
              </w:rPr>
              <w:t xml:space="preserve">the high-level reporting of global </w:t>
            </w:r>
            <w:r w:rsidR="003D2AC8" w:rsidRPr="4345DE90">
              <w:rPr>
                <w:rFonts w:ascii="Times New Roman" w:eastAsia="Times New Roman" w:hAnsi="Times New Roman" w:cs="Times New Roman"/>
                <w:color w:val="000000" w:themeColor="text1"/>
                <w:sz w:val="20"/>
                <w:szCs w:val="20"/>
              </w:rPr>
              <w:t xml:space="preserve">GHG </w:t>
            </w:r>
            <w:r w:rsidR="00887D00" w:rsidRPr="4345DE90">
              <w:rPr>
                <w:rFonts w:ascii="Times New Roman" w:eastAsia="Times New Roman" w:hAnsi="Times New Roman" w:cs="Times New Roman"/>
                <w:color w:val="000000" w:themeColor="text1"/>
                <w:sz w:val="20"/>
                <w:szCs w:val="20"/>
              </w:rPr>
              <w:t>emissions consistent with the best scientific understandi</w:t>
            </w:r>
            <w:r w:rsidR="00C677A1" w:rsidRPr="4345DE90">
              <w:rPr>
                <w:rFonts w:ascii="Times New Roman" w:eastAsia="Times New Roman" w:hAnsi="Times New Roman" w:cs="Times New Roman"/>
                <w:color w:val="000000" w:themeColor="text1"/>
                <w:sz w:val="20"/>
                <w:szCs w:val="20"/>
              </w:rPr>
              <w:t xml:space="preserve">ng, while also permitting </w:t>
            </w:r>
            <w:r w:rsidR="00ED2B4D" w:rsidRPr="4345DE90">
              <w:rPr>
                <w:rFonts w:ascii="Times New Roman" w:eastAsia="Times New Roman" w:hAnsi="Times New Roman" w:cs="Times New Roman"/>
                <w:color w:val="000000" w:themeColor="text1"/>
                <w:sz w:val="20"/>
                <w:szCs w:val="20"/>
              </w:rPr>
              <w:t xml:space="preserve">more </w:t>
            </w:r>
            <w:r w:rsidR="00E9243B" w:rsidRPr="4345DE90">
              <w:rPr>
                <w:rFonts w:ascii="Times New Roman" w:eastAsia="Times New Roman" w:hAnsi="Times New Roman" w:cs="Times New Roman"/>
                <w:color w:val="000000" w:themeColor="text1"/>
                <w:sz w:val="20"/>
                <w:szCs w:val="20"/>
              </w:rPr>
              <w:t xml:space="preserve">granular </w:t>
            </w:r>
            <w:r w:rsidR="00ED2B4D" w:rsidRPr="4345DE90">
              <w:rPr>
                <w:rFonts w:ascii="Times New Roman" w:eastAsia="Times New Roman" w:hAnsi="Times New Roman" w:cs="Times New Roman"/>
                <w:color w:val="000000" w:themeColor="text1"/>
                <w:sz w:val="20"/>
                <w:szCs w:val="20"/>
              </w:rPr>
              <w:t xml:space="preserve">reporting </w:t>
            </w:r>
            <w:r w:rsidR="00E9243B" w:rsidRPr="4345DE90">
              <w:rPr>
                <w:rFonts w:ascii="Times New Roman" w:eastAsia="Times New Roman" w:hAnsi="Times New Roman" w:cs="Times New Roman"/>
                <w:color w:val="000000" w:themeColor="text1"/>
                <w:sz w:val="20"/>
                <w:szCs w:val="20"/>
              </w:rPr>
              <w:t>of emissions and opportunities for mitigation</w:t>
            </w:r>
            <w:r w:rsidR="00AF1283" w:rsidRPr="4345DE90">
              <w:rPr>
                <w:rFonts w:ascii="Times New Roman" w:eastAsia="Times New Roman" w:hAnsi="Times New Roman" w:cs="Times New Roman"/>
                <w:color w:val="000000" w:themeColor="text1"/>
                <w:sz w:val="20"/>
                <w:szCs w:val="20"/>
              </w:rPr>
              <w:t xml:space="preserve"> </w:t>
            </w:r>
            <w:r w:rsidR="00C677A1" w:rsidRPr="4345DE90">
              <w:rPr>
                <w:rFonts w:ascii="Times New Roman" w:eastAsia="Times New Roman" w:hAnsi="Times New Roman" w:cs="Times New Roman"/>
                <w:color w:val="000000" w:themeColor="text1"/>
                <w:sz w:val="20"/>
                <w:szCs w:val="20"/>
              </w:rPr>
              <w:t>at the country level</w:t>
            </w:r>
            <w:r w:rsidR="00E9243B" w:rsidRPr="4345DE90">
              <w:rPr>
                <w:rFonts w:ascii="Times New Roman" w:eastAsia="Times New Roman" w:hAnsi="Times New Roman" w:cs="Times New Roman"/>
                <w:color w:val="000000" w:themeColor="text1"/>
                <w:sz w:val="20"/>
                <w:szCs w:val="20"/>
              </w:rPr>
              <w:t>.</w:t>
            </w:r>
          </w:p>
        </w:tc>
      </w:tr>
      <w:tr w:rsidR="008D1D26" w:rsidRPr="0054513B" w14:paraId="5A96276A" w14:textId="77777777" w:rsidTr="2BFF1B7A">
        <w:trPr>
          <w:trHeight w:val="720"/>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9B58AE8" w14:textId="286B3F55" w:rsidR="008D1D26" w:rsidRPr="0054513B" w:rsidRDefault="008D1D26">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Limitations</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F690816" w14:textId="0B278BA5"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4CF524A2">
              <w:rPr>
                <w:rFonts w:ascii="Times New Roman" w:eastAsia="Times New Roman" w:hAnsi="Times New Roman" w:cs="Times New Roman"/>
                <w:color w:val="000000" w:themeColor="text1"/>
                <w:sz w:val="20"/>
                <w:szCs w:val="20"/>
              </w:rPr>
              <w:t xml:space="preserve">Global GHG emissions are currently not directly measurable, but approaches for their estimation exist, and </w:t>
            </w:r>
            <w:r w:rsidR="00E04A4F">
              <w:rPr>
                <w:rFonts w:ascii="Times New Roman" w:eastAsia="Times New Roman" w:hAnsi="Times New Roman" w:cs="Times New Roman"/>
                <w:color w:val="000000" w:themeColor="text1"/>
                <w:sz w:val="20"/>
                <w:szCs w:val="20"/>
              </w:rPr>
              <w:t>there are</w:t>
            </w:r>
            <w:r w:rsidR="004D1C4D">
              <w:rPr>
                <w:rFonts w:ascii="Times New Roman" w:eastAsia="Times New Roman" w:hAnsi="Times New Roman" w:cs="Times New Roman"/>
                <w:color w:val="000000" w:themeColor="text1"/>
                <w:sz w:val="20"/>
                <w:szCs w:val="20"/>
              </w:rPr>
              <w:t xml:space="preserve"> </w:t>
            </w:r>
            <w:r w:rsidRPr="4CF524A2">
              <w:rPr>
                <w:rFonts w:ascii="Times New Roman" w:eastAsia="Times New Roman" w:hAnsi="Times New Roman" w:cs="Times New Roman"/>
                <w:color w:val="000000" w:themeColor="text1"/>
                <w:sz w:val="20"/>
                <w:szCs w:val="20"/>
              </w:rPr>
              <w:t xml:space="preserve">numerous sources to </w:t>
            </w:r>
            <w:r w:rsidR="005B0374">
              <w:rPr>
                <w:rFonts w:ascii="Times New Roman" w:eastAsia="Times New Roman" w:hAnsi="Times New Roman" w:cs="Times New Roman"/>
                <w:color w:val="000000" w:themeColor="text1"/>
                <w:sz w:val="20"/>
                <w:szCs w:val="20"/>
              </w:rPr>
              <w:t>inform</w:t>
            </w:r>
            <w:r w:rsidRPr="4CF524A2">
              <w:rPr>
                <w:rFonts w:ascii="Times New Roman" w:eastAsia="Times New Roman" w:hAnsi="Times New Roman" w:cs="Times New Roman"/>
                <w:color w:val="000000" w:themeColor="text1"/>
                <w:sz w:val="20"/>
                <w:szCs w:val="20"/>
              </w:rPr>
              <w:t xml:space="preserve"> this indicator. Reputable scientific organizations produce these data for research, policy analysis, climate negotiations, and broader public communications. </w:t>
            </w:r>
            <w:r w:rsidR="002E4880" w:rsidRPr="4345DE90">
              <w:rPr>
                <w:rFonts w:ascii="Times New Roman" w:eastAsia="Times New Roman" w:hAnsi="Times New Roman" w:cs="Times New Roman"/>
                <w:color w:val="000000" w:themeColor="text1"/>
                <w:sz w:val="20"/>
                <w:szCs w:val="20"/>
              </w:rPr>
              <w:t>Methodologies differ for emissions from fossil fuel combustion and industrial processes</w:t>
            </w:r>
            <w:r w:rsidR="00AF1FC4">
              <w:rPr>
                <w:rFonts w:ascii="Times New Roman" w:eastAsia="Times New Roman" w:hAnsi="Times New Roman" w:cs="Times New Roman"/>
                <w:color w:val="000000" w:themeColor="text1"/>
                <w:sz w:val="20"/>
                <w:szCs w:val="20"/>
              </w:rPr>
              <w:t>,</w:t>
            </w:r>
            <w:r w:rsidR="002E4880" w:rsidRPr="4345DE90">
              <w:rPr>
                <w:rFonts w:ascii="Times New Roman" w:eastAsia="Times New Roman" w:hAnsi="Times New Roman" w:cs="Times New Roman"/>
                <w:color w:val="000000" w:themeColor="text1"/>
                <w:sz w:val="20"/>
                <w:szCs w:val="20"/>
              </w:rPr>
              <w:t xml:space="preserve"> and from LULUCF.</w:t>
            </w:r>
            <w:r w:rsidR="00242C1C">
              <w:rPr>
                <w:rFonts w:ascii="Times New Roman" w:eastAsia="Times New Roman" w:hAnsi="Times New Roman" w:cs="Times New Roman"/>
                <w:color w:val="000000" w:themeColor="text1"/>
                <w:sz w:val="20"/>
                <w:szCs w:val="20"/>
              </w:rPr>
              <w:t xml:space="preserve"> </w:t>
            </w:r>
            <w:r w:rsidRPr="4CF524A2">
              <w:rPr>
                <w:rFonts w:ascii="Times New Roman" w:eastAsia="Times New Roman" w:hAnsi="Times New Roman" w:cs="Times New Roman"/>
                <w:color w:val="000000" w:themeColor="text1"/>
                <w:sz w:val="20"/>
                <w:szCs w:val="20"/>
              </w:rPr>
              <w:t xml:space="preserve">The estimated accuracy </w:t>
            </w:r>
            <w:r w:rsidR="00875CAC">
              <w:rPr>
                <w:rFonts w:ascii="Times New Roman" w:eastAsia="Times New Roman" w:hAnsi="Times New Roman" w:cs="Times New Roman"/>
                <w:color w:val="000000" w:themeColor="text1"/>
                <w:sz w:val="20"/>
                <w:szCs w:val="20"/>
              </w:rPr>
              <w:t>of emissions</w:t>
            </w:r>
            <w:r>
              <w:rPr>
                <w:rFonts w:ascii="Times New Roman" w:eastAsia="Times New Roman" w:hAnsi="Times New Roman" w:cs="Times New Roman"/>
                <w:color w:val="000000" w:themeColor="text1"/>
                <w:sz w:val="20"/>
                <w:szCs w:val="20"/>
              </w:rPr>
              <w:t xml:space="preserve"> </w:t>
            </w:r>
            <w:r w:rsidRPr="4CF524A2">
              <w:rPr>
                <w:rFonts w:ascii="Times New Roman" w:eastAsia="Times New Roman" w:hAnsi="Times New Roman" w:cs="Times New Roman"/>
                <w:color w:val="000000" w:themeColor="text1"/>
                <w:sz w:val="20"/>
                <w:szCs w:val="20"/>
              </w:rPr>
              <w:t xml:space="preserve">from fossil fuel combustion and industrial processes </w:t>
            </w:r>
            <w:r w:rsidR="00732A39">
              <w:rPr>
                <w:rFonts w:ascii="Times New Roman" w:eastAsia="Times New Roman" w:hAnsi="Times New Roman" w:cs="Times New Roman"/>
                <w:color w:val="000000" w:themeColor="text1"/>
                <w:sz w:val="20"/>
                <w:szCs w:val="20"/>
              </w:rPr>
              <w:t>is</w:t>
            </w:r>
            <w:r w:rsidRPr="4CF524A2">
              <w:rPr>
                <w:rFonts w:ascii="Times New Roman" w:eastAsia="Times New Roman" w:hAnsi="Times New Roman" w:cs="Times New Roman"/>
                <w:color w:val="000000" w:themeColor="text1"/>
                <w:sz w:val="20"/>
                <w:szCs w:val="20"/>
              </w:rPr>
              <w:t xml:space="preserve"> high, as quantities of fossil fuels and other emissive materials </w:t>
            </w:r>
            <w:r w:rsidR="00875CAC" w:rsidRPr="4CF524A2">
              <w:rPr>
                <w:rFonts w:ascii="Times New Roman" w:eastAsia="Times New Roman" w:hAnsi="Times New Roman" w:cs="Times New Roman"/>
                <w:color w:val="000000" w:themeColor="text1"/>
                <w:sz w:val="20"/>
                <w:szCs w:val="20"/>
              </w:rPr>
              <w:t xml:space="preserve">produced </w:t>
            </w:r>
            <w:r w:rsidRPr="4CF524A2">
              <w:rPr>
                <w:rFonts w:ascii="Times New Roman" w:eastAsia="Times New Roman" w:hAnsi="Times New Roman" w:cs="Times New Roman"/>
                <w:color w:val="000000" w:themeColor="text1"/>
                <w:sz w:val="20"/>
                <w:szCs w:val="20"/>
              </w:rPr>
              <w:t>(</w:t>
            </w:r>
            <w:r w:rsidR="0021749E">
              <w:rPr>
                <w:rFonts w:ascii="Times New Roman" w:eastAsia="Times New Roman" w:hAnsi="Times New Roman" w:cs="Times New Roman"/>
                <w:color w:val="000000" w:themeColor="text1"/>
                <w:sz w:val="20"/>
                <w:szCs w:val="20"/>
              </w:rPr>
              <w:t>e.g.,</w:t>
            </w:r>
            <w:r w:rsidRPr="4CF524A2">
              <w:rPr>
                <w:rFonts w:ascii="Times New Roman" w:eastAsia="Times New Roman" w:hAnsi="Times New Roman" w:cs="Times New Roman"/>
                <w:color w:val="000000" w:themeColor="text1"/>
                <w:sz w:val="20"/>
                <w:szCs w:val="20"/>
              </w:rPr>
              <w:t xml:space="preserve"> cement and steel) are well known. For these sectors, emissions estimates are roughly accurate to within 10% when aggregated to the global level</w:t>
            </w:r>
            <w:r w:rsidR="003C7D0C">
              <w:rPr>
                <w:rFonts w:ascii="Times New Roman" w:eastAsia="Times New Roman" w:hAnsi="Times New Roman" w:cs="Times New Roman"/>
                <w:color w:val="000000" w:themeColor="text1"/>
                <w:sz w:val="20"/>
                <w:szCs w:val="20"/>
              </w:rPr>
              <w:t>,</w:t>
            </w:r>
            <w:r w:rsidRPr="4CF524A2">
              <w:rPr>
                <w:rFonts w:ascii="Times New Roman" w:eastAsia="Times New Roman" w:hAnsi="Times New Roman" w:cs="Times New Roman"/>
                <w:color w:val="000000" w:themeColor="text1"/>
                <w:sz w:val="20"/>
                <w:szCs w:val="20"/>
              </w:rPr>
              <w:t xml:space="preserve"> and between 4% and 35% at the country level (Crippa et al., 2023). For non-combustion and non-industrial process emissions, the accuracy is lower. Agricultural emissions, for example, depend upon many factors including the type of crops grown and livestock raised, specific agricultural practices, and other climate and non-climate factors. For these emissions, the accuracy is lower—around 30% for CH4 and fluorinated gases (HFCs, PFCs, and SF6)</w:t>
            </w:r>
            <w:r w:rsidR="00A23C50">
              <w:rPr>
                <w:rFonts w:ascii="Times New Roman" w:eastAsia="Times New Roman" w:hAnsi="Times New Roman" w:cs="Times New Roman"/>
                <w:color w:val="000000" w:themeColor="text1"/>
                <w:sz w:val="20"/>
                <w:szCs w:val="20"/>
              </w:rPr>
              <w:t xml:space="preserve"> </w:t>
            </w:r>
            <w:r w:rsidR="00A23C50" w:rsidRPr="4CF524A2">
              <w:rPr>
                <w:rFonts w:ascii="Times New Roman" w:eastAsia="Times New Roman" w:hAnsi="Times New Roman" w:cs="Times New Roman"/>
                <w:color w:val="000000" w:themeColor="text1"/>
                <w:sz w:val="20"/>
                <w:szCs w:val="20"/>
              </w:rPr>
              <w:t>(McGlynn et al. 2022)</w:t>
            </w:r>
            <w:r w:rsidRPr="4CF524A2">
              <w:rPr>
                <w:rFonts w:ascii="Times New Roman" w:eastAsia="Times New Roman" w:hAnsi="Times New Roman" w:cs="Times New Roman"/>
                <w:color w:val="000000" w:themeColor="text1"/>
                <w:sz w:val="20"/>
                <w:szCs w:val="20"/>
              </w:rPr>
              <w:t xml:space="preserve">. </w:t>
            </w:r>
          </w:p>
          <w:p w14:paraId="3AE43CB2"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3B6802D1" w14:textId="631F00DC" w:rsidR="00423737" w:rsidRPr="00423737" w:rsidRDefault="000E2E39" w:rsidP="00423737">
            <w:pPr>
              <w:spacing w:after="0" w:line="240" w:lineRule="auto"/>
              <w:ind w:right="75"/>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b/>
                <w:bCs/>
                <w:color w:val="000000" w:themeColor="text1"/>
                <w:sz w:val="20"/>
                <w:szCs w:val="20"/>
              </w:rPr>
              <w:t xml:space="preserve">Furthermore, </w:t>
            </w:r>
            <w:r>
              <w:rPr>
                <w:rFonts w:ascii="Times New Roman" w:eastAsia="Times New Roman" w:hAnsi="Times New Roman" w:cs="Times New Roman"/>
                <w:color w:val="000000" w:themeColor="text1"/>
                <w:sz w:val="20"/>
                <w:szCs w:val="20"/>
              </w:rPr>
              <w:t>a</w:t>
            </w:r>
            <w:r w:rsidR="00423737" w:rsidRPr="4345DE90">
              <w:rPr>
                <w:rFonts w:ascii="Times New Roman" w:eastAsia="Times New Roman" w:hAnsi="Times New Roman" w:cs="Times New Roman"/>
                <w:color w:val="000000" w:themeColor="text1"/>
                <w:sz w:val="20"/>
                <w:szCs w:val="20"/>
              </w:rPr>
              <w:t xml:space="preserve">nthropogenic </w:t>
            </w:r>
            <w:r w:rsidR="00266AB2" w:rsidRPr="4345DE90">
              <w:rPr>
                <w:rFonts w:ascii="Times New Roman" w:eastAsia="Times New Roman" w:hAnsi="Times New Roman" w:cs="Times New Roman"/>
                <w:color w:val="000000" w:themeColor="text1"/>
                <w:sz w:val="20"/>
                <w:szCs w:val="20"/>
              </w:rPr>
              <w:t xml:space="preserve">emissions from the </w:t>
            </w:r>
            <w:r w:rsidR="00423737" w:rsidRPr="4345DE90">
              <w:rPr>
                <w:rFonts w:ascii="Times New Roman" w:eastAsia="Times New Roman" w:hAnsi="Times New Roman" w:cs="Times New Roman"/>
                <w:color w:val="000000" w:themeColor="text1"/>
                <w:sz w:val="20"/>
                <w:szCs w:val="20"/>
              </w:rPr>
              <w:t>LULUCF</w:t>
            </w:r>
            <w:r w:rsidR="00266AB2" w:rsidRPr="4345DE90">
              <w:rPr>
                <w:rFonts w:ascii="Times New Roman" w:eastAsia="Times New Roman" w:hAnsi="Times New Roman" w:cs="Times New Roman"/>
                <w:color w:val="000000" w:themeColor="text1"/>
                <w:sz w:val="20"/>
                <w:szCs w:val="20"/>
              </w:rPr>
              <w:t xml:space="preserve"> subsectors</w:t>
            </w:r>
            <w:r w:rsidR="00423737" w:rsidRPr="4345DE90">
              <w:rPr>
                <w:rFonts w:ascii="Times New Roman" w:eastAsia="Times New Roman" w:hAnsi="Times New Roman" w:cs="Times New Roman"/>
                <w:color w:val="000000" w:themeColor="text1"/>
                <w:sz w:val="20"/>
                <w:szCs w:val="20"/>
              </w:rPr>
              <w:t xml:space="preserve"> are more challenging to quantify because of the complexity of terrestrial ecosystem and the difficulties of disentangling natural from anthropogenic fluxes. Two predominant approaches are used to arrive at national LULUCF GHG fluxes. </w:t>
            </w:r>
            <w:r w:rsidR="00E3662F" w:rsidRPr="4345DE90">
              <w:rPr>
                <w:rFonts w:ascii="Times New Roman" w:eastAsia="Times New Roman" w:hAnsi="Times New Roman" w:cs="Times New Roman"/>
                <w:color w:val="000000" w:themeColor="text1"/>
                <w:sz w:val="20"/>
                <w:szCs w:val="20"/>
              </w:rPr>
              <w:t>One</w:t>
            </w:r>
            <w:r w:rsidR="00423737" w:rsidRPr="4345DE90">
              <w:rPr>
                <w:rFonts w:ascii="Times New Roman" w:eastAsia="Times New Roman" w:hAnsi="Times New Roman" w:cs="Times New Roman"/>
                <w:color w:val="000000" w:themeColor="text1"/>
                <w:sz w:val="20"/>
                <w:szCs w:val="20"/>
              </w:rPr>
              <w:t xml:space="preserve"> approach </w:t>
            </w:r>
            <w:r w:rsidR="00B1212B" w:rsidRPr="4345DE90">
              <w:rPr>
                <w:rFonts w:ascii="Times New Roman" w:eastAsia="Times New Roman" w:hAnsi="Times New Roman" w:cs="Times New Roman"/>
                <w:color w:val="000000" w:themeColor="text1"/>
                <w:sz w:val="20"/>
                <w:szCs w:val="20"/>
              </w:rPr>
              <w:t>is</w:t>
            </w:r>
            <w:r w:rsidR="00423737" w:rsidRPr="4345DE90">
              <w:rPr>
                <w:rFonts w:ascii="Times New Roman" w:eastAsia="Times New Roman" w:hAnsi="Times New Roman" w:cs="Times New Roman"/>
                <w:color w:val="000000" w:themeColor="text1"/>
                <w:sz w:val="20"/>
                <w:szCs w:val="20"/>
              </w:rPr>
              <w:t xml:space="preserve"> based </w:t>
            </w:r>
            <w:r w:rsidR="00ED77C6" w:rsidRPr="4345DE90">
              <w:rPr>
                <w:rFonts w:ascii="Times New Roman" w:eastAsia="Times New Roman" w:hAnsi="Times New Roman" w:cs="Times New Roman"/>
                <w:color w:val="000000" w:themeColor="text1"/>
                <w:sz w:val="20"/>
                <w:szCs w:val="20"/>
              </w:rPr>
              <w:t xml:space="preserve">on </w:t>
            </w:r>
            <w:r w:rsidR="00E613A7" w:rsidRPr="4345DE90">
              <w:rPr>
                <w:rFonts w:ascii="Times New Roman" w:eastAsia="Times New Roman" w:hAnsi="Times New Roman" w:cs="Times New Roman"/>
                <w:color w:val="000000" w:themeColor="text1"/>
                <w:sz w:val="20"/>
                <w:szCs w:val="20"/>
              </w:rPr>
              <w:t>modelling work by the scientific community</w:t>
            </w:r>
            <w:r w:rsidR="002E6D98">
              <w:rPr>
                <w:rFonts w:ascii="Times New Roman" w:eastAsia="Times New Roman" w:hAnsi="Times New Roman" w:cs="Times New Roman"/>
                <w:color w:val="000000" w:themeColor="text1"/>
                <w:sz w:val="20"/>
                <w:szCs w:val="20"/>
              </w:rPr>
              <w:t>;</w:t>
            </w:r>
            <w:r w:rsidR="007A30B6">
              <w:rPr>
                <w:rFonts w:ascii="Times New Roman" w:eastAsia="Times New Roman" w:hAnsi="Times New Roman" w:cs="Times New Roman"/>
                <w:color w:val="000000" w:themeColor="text1"/>
                <w:sz w:val="20"/>
                <w:szCs w:val="20"/>
              </w:rPr>
              <w:t xml:space="preserve"> </w:t>
            </w:r>
            <w:r w:rsidR="003C4996">
              <w:rPr>
                <w:rFonts w:ascii="Times New Roman" w:eastAsia="Times New Roman" w:hAnsi="Times New Roman" w:cs="Times New Roman"/>
                <w:color w:val="000000" w:themeColor="text1"/>
                <w:sz w:val="20"/>
                <w:szCs w:val="20"/>
              </w:rPr>
              <w:t>the other</w:t>
            </w:r>
            <w:r w:rsidR="00D52209" w:rsidRPr="4345DE90">
              <w:rPr>
                <w:rFonts w:ascii="Times New Roman" w:eastAsia="Times New Roman" w:hAnsi="Times New Roman" w:cs="Times New Roman"/>
                <w:color w:val="000000" w:themeColor="text1"/>
                <w:sz w:val="20"/>
                <w:szCs w:val="20"/>
              </w:rPr>
              <w:t xml:space="preserve"> </w:t>
            </w:r>
            <w:r w:rsidR="00B1212B" w:rsidRPr="4345DE90">
              <w:rPr>
                <w:rFonts w:ascii="Times New Roman" w:eastAsia="Times New Roman" w:hAnsi="Times New Roman" w:cs="Times New Roman"/>
                <w:color w:val="000000" w:themeColor="text1"/>
                <w:sz w:val="20"/>
                <w:szCs w:val="20"/>
              </w:rPr>
              <w:t xml:space="preserve">is </w:t>
            </w:r>
            <w:r w:rsidR="00D52209" w:rsidRPr="4345DE90">
              <w:rPr>
                <w:rFonts w:ascii="Times New Roman" w:eastAsia="Times New Roman" w:hAnsi="Times New Roman" w:cs="Times New Roman"/>
                <w:color w:val="000000" w:themeColor="text1"/>
                <w:sz w:val="20"/>
                <w:szCs w:val="20"/>
              </w:rPr>
              <w:t xml:space="preserve">based </w:t>
            </w:r>
            <w:r w:rsidR="00423737" w:rsidRPr="4345DE90">
              <w:rPr>
                <w:rFonts w:ascii="Times New Roman" w:eastAsia="Times New Roman" w:hAnsi="Times New Roman" w:cs="Times New Roman"/>
                <w:color w:val="000000" w:themeColor="text1"/>
                <w:sz w:val="20"/>
                <w:szCs w:val="20"/>
              </w:rPr>
              <w:t xml:space="preserve">on </w:t>
            </w:r>
            <w:r w:rsidR="00101B21" w:rsidRPr="4345DE90">
              <w:rPr>
                <w:rFonts w:ascii="Times New Roman" w:eastAsia="Times New Roman" w:hAnsi="Times New Roman" w:cs="Times New Roman"/>
                <w:color w:val="000000" w:themeColor="text1"/>
                <w:sz w:val="20"/>
                <w:szCs w:val="20"/>
              </w:rPr>
              <w:t>country</w:t>
            </w:r>
            <w:r w:rsidR="00423737" w:rsidRPr="4345DE90">
              <w:rPr>
                <w:rFonts w:ascii="Times New Roman" w:eastAsia="Times New Roman" w:hAnsi="Times New Roman" w:cs="Times New Roman"/>
                <w:color w:val="000000" w:themeColor="text1"/>
                <w:sz w:val="20"/>
                <w:szCs w:val="20"/>
              </w:rPr>
              <w:t xml:space="preserve"> submissions to national greenhouse gas inventories</w:t>
            </w:r>
            <w:r w:rsidR="00D52209" w:rsidRPr="4345DE90">
              <w:rPr>
                <w:rFonts w:ascii="Times New Roman" w:eastAsia="Times New Roman" w:hAnsi="Times New Roman" w:cs="Times New Roman"/>
                <w:color w:val="000000" w:themeColor="text1"/>
                <w:sz w:val="20"/>
                <w:szCs w:val="20"/>
              </w:rPr>
              <w:t xml:space="preserve">. </w:t>
            </w:r>
          </w:p>
          <w:p w14:paraId="188D55D4" w14:textId="77777777" w:rsidR="00F24CA6" w:rsidRDefault="00F24CA6"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670FD82D" w14:textId="02846577" w:rsidR="0066072C" w:rsidRDefault="0066072C" w:rsidP="0078501B">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rPr>
              <w:t>first</w:t>
            </w:r>
            <w:r w:rsidRPr="00423737">
              <w:rPr>
                <w:rFonts w:ascii="Times New Roman" w:eastAsia="Times New Roman" w:hAnsi="Times New Roman" w:cs="Times New Roman"/>
                <w:color w:val="000000"/>
                <w:sz w:val="20"/>
                <w:szCs w:val="20"/>
              </w:rPr>
              <w:t xml:space="preserve"> approach (“modeling”) is used by the scientific community </w:t>
            </w:r>
            <w:r w:rsidR="001C6049">
              <w:rPr>
                <w:rFonts w:ascii="Times New Roman" w:eastAsia="Times New Roman" w:hAnsi="Times New Roman" w:cs="Times New Roman"/>
                <w:color w:val="000000"/>
                <w:sz w:val="20"/>
                <w:szCs w:val="20"/>
              </w:rPr>
              <w:t>in</w:t>
            </w:r>
            <w:r w:rsidRPr="00423737">
              <w:rPr>
                <w:rFonts w:ascii="Times New Roman" w:eastAsia="Times New Roman" w:hAnsi="Times New Roman" w:cs="Times New Roman"/>
                <w:color w:val="000000"/>
                <w:sz w:val="20"/>
                <w:szCs w:val="20"/>
              </w:rPr>
              <w:t xml:space="preserve"> global carbon</w:t>
            </w:r>
            <w:r w:rsidR="003C4996">
              <w:rPr>
                <w:rFonts w:ascii="Times New Roman" w:eastAsia="Times New Roman" w:hAnsi="Times New Roman" w:cs="Times New Roman"/>
                <w:color w:val="000000"/>
                <w:sz w:val="20"/>
                <w:szCs w:val="20"/>
              </w:rPr>
              <w:t>-</w:t>
            </w:r>
            <w:r w:rsidRPr="00423737">
              <w:rPr>
                <w:rFonts w:ascii="Times New Roman" w:eastAsia="Times New Roman" w:hAnsi="Times New Roman" w:cs="Times New Roman"/>
                <w:color w:val="000000"/>
                <w:sz w:val="20"/>
                <w:szCs w:val="20"/>
              </w:rPr>
              <w:t xml:space="preserve">cycle modeling that simulates GHG exchange between the terrestrial biosphere and atmosphere. </w:t>
            </w:r>
            <w:r w:rsidR="00B80E6C">
              <w:rPr>
                <w:rFonts w:ascii="Times New Roman" w:eastAsia="Times New Roman" w:hAnsi="Times New Roman" w:cs="Times New Roman"/>
                <w:color w:val="000000"/>
                <w:sz w:val="20"/>
                <w:szCs w:val="20"/>
              </w:rPr>
              <w:t>It distinguishes between managed and unmanaged forests</w:t>
            </w:r>
            <w:r w:rsidR="00683E52">
              <w:rPr>
                <w:rFonts w:ascii="Times New Roman" w:eastAsia="Times New Roman" w:hAnsi="Times New Roman" w:cs="Times New Roman"/>
                <w:color w:val="000000"/>
                <w:sz w:val="20"/>
                <w:szCs w:val="20"/>
              </w:rPr>
              <w:t>,</w:t>
            </w:r>
            <w:r w:rsidR="007A30B6">
              <w:rPr>
                <w:rFonts w:ascii="Times New Roman" w:eastAsia="Times New Roman" w:hAnsi="Times New Roman" w:cs="Times New Roman"/>
                <w:color w:val="000000"/>
                <w:sz w:val="20"/>
                <w:szCs w:val="20"/>
              </w:rPr>
              <w:t xml:space="preserve"> </w:t>
            </w:r>
            <w:r w:rsidR="0024366E">
              <w:rPr>
                <w:rFonts w:ascii="Times New Roman" w:eastAsia="Times New Roman" w:hAnsi="Times New Roman" w:cs="Times New Roman"/>
                <w:color w:val="000000"/>
                <w:sz w:val="20"/>
                <w:szCs w:val="20"/>
              </w:rPr>
              <w:t>estimat</w:t>
            </w:r>
            <w:r w:rsidR="00683E52">
              <w:rPr>
                <w:rFonts w:ascii="Times New Roman" w:eastAsia="Times New Roman" w:hAnsi="Times New Roman" w:cs="Times New Roman"/>
                <w:color w:val="000000"/>
                <w:sz w:val="20"/>
                <w:szCs w:val="20"/>
              </w:rPr>
              <w:t>ing</w:t>
            </w:r>
            <w:r w:rsidR="0024366E">
              <w:rPr>
                <w:rFonts w:ascii="Times New Roman" w:eastAsia="Times New Roman" w:hAnsi="Times New Roman" w:cs="Times New Roman"/>
                <w:color w:val="000000"/>
                <w:sz w:val="20"/>
                <w:szCs w:val="20"/>
              </w:rPr>
              <w:t xml:space="preserve"> the latter using vegetation m</w:t>
            </w:r>
            <w:r w:rsidR="00E81838">
              <w:rPr>
                <w:rFonts w:ascii="Times New Roman" w:eastAsia="Times New Roman" w:hAnsi="Times New Roman" w:cs="Times New Roman"/>
                <w:color w:val="000000"/>
                <w:sz w:val="20"/>
                <w:szCs w:val="20"/>
              </w:rPr>
              <w:t>odel</w:t>
            </w:r>
            <w:r w:rsidR="009576AA">
              <w:rPr>
                <w:rFonts w:ascii="Times New Roman" w:eastAsia="Times New Roman" w:hAnsi="Times New Roman" w:cs="Times New Roman"/>
                <w:color w:val="000000"/>
                <w:sz w:val="20"/>
                <w:szCs w:val="20"/>
              </w:rPr>
              <w:t>s</w:t>
            </w:r>
            <w:r w:rsidR="004052B4">
              <w:rPr>
                <w:rFonts w:ascii="Times New Roman" w:eastAsia="Times New Roman" w:hAnsi="Times New Roman" w:cs="Times New Roman"/>
                <w:color w:val="000000"/>
                <w:sz w:val="20"/>
                <w:szCs w:val="20"/>
              </w:rPr>
              <w:t>,</w:t>
            </w:r>
            <w:r w:rsidR="009576AA">
              <w:rPr>
                <w:rFonts w:ascii="Times New Roman" w:eastAsia="Times New Roman" w:hAnsi="Times New Roman" w:cs="Times New Roman"/>
                <w:color w:val="000000"/>
                <w:sz w:val="20"/>
                <w:szCs w:val="20"/>
              </w:rPr>
              <w:t xml:space="preserve"> and </w:t>
            </w:r>
            <w:r w:rsidR="009576AA" w:rsidRPr="004025B8">
              <w:rPr>
                <w:rFonts w:ascii="Times New Roman" w:eastAsia="Times New Roman" w:hAnsi="Times New Roman" w:cs="Times New Roman"/>
                <w:color w:val="000000"/>
                <w:sz w:val="20"/>
                <w:szCs w:val="20"/>
              </w:rPr>
              <w:t>is not attributed to specific countries</w:t>
            </w:r>
            <w:r w:rsidR="009576AA">
              <w:rPr>
                <w:rFonts w:ascii="Times New Roman" w:eastAsia="Times New Roman" w:hAnsi="Times New Roman" w:cs="Times New Roman"/>
                <w:color w:val="000000"/>
                <w:sz w:val="20"/>
                <w:szCs w:val="20"/>
              </w:rPr>
              <w:t xml:space="preserve">. </w:t>
            </w:r>
            <w:r w:rsidR="00AB30DA">
              <w:rPr>
                <w:rFonts w:ascii="Times New Roman" w:eastAsia="Times New Roman" w:hAnsi="Times New Roman" w:cs="Times New Roman"/>
                <w:color w:val="000000"/>
                <w:sz w:val="20"/>
                <w:szCs w:val="20"/>
              </w:rPr>
              <w:t>Notably t</w:t>
            </w:r>
            <w:r w:rsidR="002D16C8">
              <w:rPr>
                <w:rFonts w:ascii="Times New Roman" w:eastAsia="Times New Roman" w:hAnsi="Times New Roman" w:cs="Times New Roman"/>
                <w:color w:val="000000"/>
                <w:sz w:val="20"/>
                <w:szCs w:val="20"/>
              </w:rPr>
              <w:t xml:space="preserve">his approach </w:t>
            </w:r>
            <w:r w:rsidR="00980486">
              <w:rPr>
                <w:rFonts w:ascii="Times New Roman" w:eastAsia="Times New Roman" w:hAnsi="Times New Roman" w:cs="Times New Roman"/>
                <w:color w:val="000000"/>
                <w:sz w:val="20"/>
                <w:szCs w:val="20"/>
              </w:rPr>
              <w:t xml:space="preserve">also </w:t>
            </w:r>
            <w:r w:rsidR="00AB30DA">
              <w:rPr>
                <w:rFonts w:ascii="Times New Roman" w:eastAsia="Times New Roman" w:hAnsi="Times New Roman" w:cs="Times New Roman"/>
                <w:color w:val="000000"/>
                <w:sz w:val="20"/>
                <w:szCs w:val="20"/>
              </w:rPr>
              <w:t xml:space="preserve">does not attribute </w:t>
            </w:r>
            <w:r w:rsidR="00980486">
              <w:rPr>
                <w:rFonts w:ascii="Times New Roman" w:eastAsia="Times New Roman" w:hAnsi="Times New Roman" w:cs="Times New Roman"/>
                <w:color w:val="000000"/>
                <w:sz w:val="20"/>
                <w:szCs w:val="20"/>
              </w:rPr>
              <w:t xml:space="preserve">any </w:t>
            </w:r>
            <w:r w:rsidR="00AB30DA">
              <w:rPr>
                <w:rFonts w:ascii="Times New Roman" w:eastAsia="Times New Roman" w:hAnsi="Times New Roman" w:cs="Times New Roman"/>
                <w:color w:val="000000"/>
                <w:sz w:val="20"/>
                <w:szCs w:val="20"/>
              </w:rPr>
              <w:t xml:space="preserve">changes in emissions </w:t>
            </w:r>
            <w:r w:rsidR="002613C1">
              <w:rPr>
                <w:rFonts w:ascii="Times New Roman" w:eastAsia="Times New Roman" w:hAnsi="Times New Roman" w:cs="Times New Roman"/>
                <w:color w:val="000000"/>
                <w:sz w:val="20"/>
                <w:szCs w:val="20"/>
              </w:rPr>
              <w:t xml:space="preserve">in the </w:t>
            </w:r>
            <w:r w:rsidR="00AB30DA">
              <w:rPr>
                <w:rFonts w:ascii="Times New Roman" w:eastAsia="Times New Roman" w:hAnsi="Times New Roman" w:cs="Times New Roman"/>
                <w:color w:val="000000"/>
                <w:sz w:val="20"/>
                <w:szCs w:val="20"/>
              </w:rPr>
              <w:t xml:space="preserve">LULUCF </w:t>
            </w:r>
            <w:r w:rsidR="002613C1">
              <w:rPr>
                <w:rFonts w:ascii="Times New Roman" w:eastAsia="Times New Roman" w:hAnsi="Times New Roman" w:cs="Times New Roman"/>
                <w:color w:val="000000"/>
                <w:sz w:val="20"/>
                <w:szCs w:val="20"/>
              </w:rPr>
              <w:t xml:space="preserve">sectors due to </w:t>
            </w:r>
            <w:r w:rsidR="006B4ED5">
              <w:rPr>
                <w:rFonts w:ascii="Times New Roman" w:eastAsia="Times New Roman" w:hAnsi="Times New Roman" w:cs="Times New Roman"/>
                <w:color w:val="000000"/>
                <w:sz w:val="20"/>
                <w:szCs w:val="20"/>
              </w:rPr>
              <w:t xml:space="preserve">environmental changes such as carbon </w:t>
            </w:r>
            <w:r w:rsidR="00607749">
              <w:rPr>
                <w:rFonts w:ascii="Times New Roman" w:eastAsia="Times New Roman" w:hAnsi="Times New Roman" w:cs="Times New Roman"/>
                <w:color w:val="000000"/>
                <w:sz w:val="20"/>
                <w:szCs w:val="20"/>
              </w:rPr>
              <w:t>fertilization</w:t>
            </w:r>
            <w:r w:rsidR="00155C27">
              <w:rPr>
                <w:rFonts w:ascii="Times New Roman" w:eastAsia="Times New Roman" w:hAnsi="Times New Roman" w:cs="Times New Roman"/>
                <w:color w:val="000000"/>
                <w:sz w:val="20"/>
                <w:szCs w:val="20"/>
              </w:rPr>
              <w:t>—called anthropogenic (indirect) emissions (</w:t>
            </w:r>
            <w:r w:rsidR="00607749">
              <w:rPr>
                <w:rFonts w:ascii="Times New Roman" w:eastAsia="Times New Roman" w:hAnsi="Times New Roman" w:cs="Times New Roman"/>
                <w:color w:val="000000"/>
                <w:sz w:val="20"/>
                <w:szCs w:val="20"/>
              </w:rPr>
              <w:t>Gidden et al., 2023</w:t>
            </w:r>
            <w:r w:rsidR="00155C27">
              <w:rPr>
                <w:rFonts w:ascii="Times New Roman" w:eastAsia="Times New Roman" w:hAnsi="Times New Roman" w:cs="Times New Roman"/>
                <w:color w:val="000000"/>
                <w:sz w:val="20"/>
                <w:szCs w:val="20"/>
              </w:rPr>
              <w:t>)</w:t>
            </w:r>
            <w:r w:rsidR="00DD49CA">
              <w:rPr>
                <w:rFonts w:ascii="Times New Roman" w:eastAsia="Times New Roman" w:hAnsi="Times New Roman" w:cs="Times New Roman"/>
                <w:color w:val="000000"/>
                <w:sz w:val="20"/>
                <w:szCs w:val="20"/>
              </w:rPr>
              <w:t xml:space="preserve">. </w:t>
            </w:r>
          </w:p>
          <w:p w14:paraId="6BFF2D1B" w14:textId="77777777" w:rsidR="0066072C" w:rsidRDefault="0066072C"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539DC2F" w14:textId="23B330DD" w:rsidR="00423737" w:rsidRDefault="00423737" w:rsidP="00423737">
            <w:pPr>
              <w:spacing w:after="0" w:line="240" w:lineRule="auto"/>
              <w:ind w:right="75"/>
              <w:jc w:val="both"/>
              <w:textAlignment w:val="baseline"/>
              <w:rPr>
                <w:rFonts w:ascii="Times New Roman" w:eastAsia="Times New Roman" w:hAnsi="Times New Roman" w:cs="Times New Roman"/>
                <w:color w:val="000000" w:themeColor="text1"/>
                <w:sz w:val="20"/>
                <w:szCs w:val="20"/>
              </w:rPr>
            </w:pPr>
            <w:r w:rsidRPr="00423737">
              <w:rPr>
                <w:rFonts w:ascii="Times New Roman" w:eastAsia="Times New Roman" w:hAnsi="Times New Roman" w:cs="Times New Roman"/>
                <w:color w:val="000000"/>
                <w:sz w:val="20"/>
                <w:szCs w:val="20"/>
              </w:rPr>
              <w:t xml:space="preserve">The </w:t>
            </w:r>
            <w:r w:rsidR="0092275D">
              <w:rPr>
                <w:rFonts w:ascii="Times New Roman" w:eastAsia="Times New Roman" w:hAnsi="Times New Roman" w:cs="Times New Roman"/>
                <w:color w:val="000000"/>
                <w:sz w:val="20"/>
                <w:szCs w:val="20"/>
              </w:rPr>
              <w:t>second</w:t>
            </w:r>
            <w:r w:rsidRPr="00423737">
              <w:rPr>
                <w:rFonts w:ascii="Times New Roman" w:eastAsia="Times New Roman" w:hAnsi="Times New Roman" w:cs="Times New Roman"/>
                <w:color w:val="000000"/>
                <w:sz w:val="20"/>
                <w:szCs w:val="20"/>
              </w:rPr>
              <w:t xml:space="preserve"> approach (“inventory”) is based on country submissions of anthropogenic GHG emissions and removals</w:t>
            </w:r>
            <w:r w:rsidR="003E5B71">
              <w:rPr>
                <w:rFonts w:ascii="Times New Roman" w:eastAsia="Times New Roman" w:hAnsi="Times New Roman" w:cs="Times New Roman"/>
                <w:color w:val="000000"/>
                <w:sz w:val="20"/>
                <w:szCs w:val="20"/>
              </w:rPr>
              <w:t>,</w:t>
            </w:r>
            <w:r w:rsidRPr="00423737">
              <w:rPr>
                <w:rFonts w:ascii="Times New Roman" w:eastAsia="Times New Roman" w:hAnsi="Times New Roman" w:cs="Times New Roman"/>
                <w:color w:val="000000"/>
                <w:sz w:val="20"/>
                <w:szCs w:val="20"/>
              </w:rPr>
              <w:t xml:space="preserve"> in accordance with the reporting requirements of parties to the United Nations Framework Convention on Climate Change (UNFCCC) and Reducing Emissions from Deforestation and Forest Degradation in Developing Countries (REDD+).</w:t>
            </w:r>
            <w:r w:rsidR="00357209">
              <w:rPr>
                <w:rFonts w:ascii="Times New Roman" w:eastAsia="Times New Roman" w:hAnsi="Times New Roman" w:cs="Times New Roman"/>
                <w:color w:val="000000"/>
                <w:sz w:val="20"/>
                <w:szCs w:val="20"/>
              </w:rPr>
              <w:t xml:space="preserve"> C</w:t>
            </w:r>
            <w:r w:rsidRPr="00423737">
              <w:rPr>
                <w:rFonts w:ascii="Times New Roman" w:eastAsia="Times New Roman" w:hAnsi="Times New Roman" w:cs="Times New Roman"/>
                <w:color w:val="000000"/>
                <w:sz w:val="20"/>
                <w:szCs w:val="20"/>
              </w:rPr>
              <w:t>ountries have different reporting obligations depending on whether they are an Annex 1 or non-Annex 1 country. Non-Annex 1 countries, which have more limited reporting obligations, often lack monitoring and reporting capacity</w:t>
            </w:r>
            <w:r w:rsidR="00C260DC">
              <w:rPr>
                <w:rFonts w:ascii="Times New Roman" w:eastAsia="Times New Roman" w:hAnsi="Times New Roman" w:cs="Times New Roman"/>
                <w:color w:val="000000"/>
                <w:sz w:val="20"/>
                <w:szCs w:val="20"/>
              </w:rPr>
              <w:t>,</w:t>
            </w:r>
            <w:r w:rsidRPr="00423737">
              <w:rPr>
                <w:rFonts w:ascii="Times New Roman" w:eastAsia="Times New Roman" w:hAnsi="Times New Roman" w:cs="Times New Roman"/>
                <w:color w:val="000000"/>
                <w:sz w:val="20"/>
                <w:szCs w:val="20"/>
              </w:rPr>
              <w:t xml:space="preserve"> and their data is often less complete than for Annex 1 countries. Additionally, reporting countries often include </w:t>
            </w:r>
            <w:r w:rsidR="00A434EF">
              <w:rPr>
                <w:rFonts w:ascii="Times New Roman" w:eastAsia="Times New Roman" w:hAnsi="Times New Roman" w:cs="Times New Roman"/>
                <w:color w:val="000000"/>
                <w:sz w:val="20"/>
                <w:szCs w:val="20"/>
              </w:rPr>
              <w:t xml:space="preserve">larger </w:t>
            </w:r>
            <w:r w:rsidRPr="00423737">
              <w:rPr>
                <w:rFonts w:ascii="Times New Roman" w:eastAsia="Times New Roman" w:hAnsi="Times New Roman" w:cs="Times New Roman"/>
                <w:color w:val="000000"/>
                <w:sz w:val="20"/>
                <w:szCs w:val="20"/>
              </w:rPr>
              <w:t xml:space="preserve">estimates </w:t>
            </w:r>
            <w:r w:rsidR="00A434EF">
              <w:rPr>
                <w:rFonts w:ascii="Times New Roman" w:eastAsia="Times New Roman" w:hAnsi="Times New Roman" w:cs="Times New Roman"/>
                <w:color w:val="000000"/>
                <w:sz w:val="20"/>
                <w:szCs w:val="20"/>
              </w:rPr>
              <w:t>of managed land</w:t>
            </w:r>
            <w:r w:rsidR="0061010C">
              <w:rPr>
                <w:rFonts w:ascii="Times New Roman" w:eastAsia="Times New Roman" w:hAnsi="Times New Roman" w:cs="Times New Roman"/>
                <w:color w:val="000000"/>
                <w:sz w:val="20"/>
                <w:szCs w:val="20"/>
              </w:rPr>
              <w:t xml:space="preserve"> </w:t>
            </w:r>
            <w:r w:rsidR="00C827F5">
              <w:rPr>
                <w:rFonts w:ascii="Times New Roman" w:eastAsia="Times New Roman" w:hAnsi="Times New Roman" w:cs="Times New Roman"/>
                <w:color w:val="000000"/>
                <w:sz w:val="20"/>
                <w:szCs w:val="20"/>
              </w:rPr>
              <w:t xml:space="preserve">than </w:t>
            </w:r>
            <w:r w:rsidR="00936ED8">
              <w:rPr>
                <w:rFonts w:ascii="Times New Roman" w:eastAsia="Times New Roman" w:hAnsi="Times New Roman" w:cs="Times New Roman"/>
                <w:color w:val="000000"/>
                <w:sz w:val="20"/>
                <w:szCs w:val="20"/>
              </w:rPr>
              <w:t>what is estimated using the modeling approach</w:t>
            </w:r>
            <w:r w:rsidRPr="00423737">
              <w:rPr>
                <w:rFonts w:ascii="Times New Roman" w:eastAsia="Times New Roman" w:hAnsi="Times New Roman" w:cs="Times New Roman"/>
                <w:color w:val="000000"/>
                <w:sz w:val="20"/>
                <w:szCs w:val="20"/>
              </w:rPr>
              <w:t xml:space="preserve">. As such, LULUCF emissions from this approach are not well standardized across countries, and </w:t>
            </w:r>
            <w:r w:rsidR="00F54453">
              <w:rPr>
                <w:rFonts w:ascii="Times New Roman" w:eastAsia="Times New Roman" w:hAnsi="Times New Roman" w:cs="Times New Roman"/>
                <w:color w:val="000000"/>
                <w:sz w:val="20"/>
                <w:szCs w:val="20"/>
              </w:rPr>
              <w:t xml:space="preserve">summing emissions across all countries does not </w:t>
            </w:r>
            <w:r w:rsidR="00CB60D1">
              <w:rPr>
                <w:rFonts w:ascii="Times New Roman" w:eastAsia="Times New Roman" w:hAnsi="Times New Roman" w:cs="Times New Roman"/>
                <w:color w:val="000000"/>
                <w:sz w:val="20"/>
                <w:szCs w:val="20"/>
              </w:rPr>
              <w:t xml:space="preserve">equal </w:t>
            </w:r>
            <w:r w:rsidR="00D44966">
              <w:rPr>
                <w:rFonts w:ascii="Times New Roman" w:eastAsia="Times New Roman" w:hAnsi="Times New Roman" w:cs="Times New Roman"/>
                <w:color w:val="000000"/>
                <w:sz w:val="20"/>
                <w:szCs w:val="20"/>
              </w:rPr>
              <w:t xml:space="preserve">the </w:t>
            </w:r>
            <w:r w:rsidRPr="00423737">
              <w:rPr>
                <w:rFonts w:ascii="Times New Roman" w:eastAsia="Times New Roman" w:hAnsi="Times New Roman" w:cs="Times New Roman"/>
                <w:color w:val="000000"/>
                <w:sz w:val="20"/>
                <w:szCs w:val="20"/>
              </w:rPr>
              <w:t>global emissions estimates (Grassi et al</w:t>
            </w:r>
            <w:r w:rsidR="00BF6518">
              <w:rPr>
                <w:rFonts w:ascii="Times New Roman" w:eastAsia="Times New Roman" w:hAnsi="Times New Roman" w:cs="Times New Roman"/>
                <w:color w:val="000000"/>
                <w:sz w:val="20"/>
                <w:szCs w:val="20"/>
              </w:rPr>
              <w:t>.,</w:t>
            </w:r>
            <w:r w:rsidRPr="00423737">
              <w:rPr>
                <w:rFonts w:ascii="Times New Roman" w:eastAsia="Times New Roman" w:hAnsi="Times New Roman" w:cs="Times New Roman"/>
                <w:color w:val="000000"/>
                <w:sz w:val="20"/>
                <w:szCs w:val="20"/>
              </w:rPr>
              <w:t xml:space="preserve"> 2022). </w:t>
            </w:r>
            <w:r w:rsidR="00B76EAD" w:rsidRPr="4CF524A2">
              <w:rPr>
                <w:rFonts w:ascii="Times New Roman" w:eastAsia="Times New Roman" w:hAnsi="Times New Roman" w:cs="Times New Roman"/>
                <w:color w:val="000000" w:themeColor="text1"/>
                <w:sz w:val="20"/>
                <w:szCs w:val="20"/>
              </w:rPr>
              <w:t xml:space="preserve">For the LULUCF </w:t>
            </w:r>
            <w:r w:rsidR="00480610">
              <w:rPr>
                <w:rFonts w:ascii="Times New Roman" w:eastAsia="Times New Roman" w:hAnsi="Times New Roman" w:cs="Times New Roman"/>
                <w:color w:val="000000" w:themeColor="text1"/>
                <w:sz w:val="20"/>
                <w:szCs w:val="20"/>
              </w:rPr>
              <w:t>sub</w:t>
            </w:r>
            <w:r w:rsidR="00B76EAD" w:rsidRPr="4CF524A2">
              <w:rPr>
                <w:rFonts w:ascii="Times New Roman" w:eastAsia="Times New Roman" w:hAnsi="Times New Roman" w:cs="Times New Roman"/>
                <w:color w:val="000000" w:themeColor="text1"/>
                <w:sz w:val="20"/>
                <w:szCs w:val="20"/>
              </w:rPr>
              <w:t xml:space="preserve">sectors, country-level uncertainty around emissions </w:t>
            </w:r>
            <w:r w:rsidR="00E12EF8">
              <w:rPr>
                <w:rFonts w:ascii="Times New Roman" w:eastAsia="Times New Roman" w:hAnsi="Times New Roman" w:cs="Times New Roman"/>
                <w:color w:val="000000" w:themeColor="text1"/>
                <w:sz w:val="20"/>
                <w:szCs w:val="20"/>
              </w:rPr>
              <w:t xml:space="preserve">based on the inventory approach </w:t>
            </w:r>
            <w:r w:rsidR="00B76EAD" w:rsidRPr="4CF524A2">
              <w:rPr>
                <w:rFonts w:ascii="Times New Roman" w:eastAsia="Times New Roman" w:hAnsi="Times New Roman" w:cs="Times New Roman"/>
                <w:color w:val="000000" w:themeColor="text1"/>
                <w:sz w:val="20"/>
                <w:szCs w:val="20"/>
              </w:rPr>
              <w:t>rang</w:t>
            </w:r>
            <w:r w:rsidR="00480610">
              <w:rPr>
                <w:rFonts w:ascii="Times New Roman" w:eastAsia="Times New Roman" w:hAnsi="Times New Roman" w:cs="Times New Roman"/>
                <w:color w:val="000000" w:themeColor="text1"/>
                <w:sz w:val="20"/>
                <w:szCs w:val="20"/>
              </w:rPr>
              <w:t>e</w:t>
            </w:r>
            <w:r w:rsidR="000D6AF9">
              <w:rPr>
                <w:rFonts w:ascii="Times New Roman" w:eastAsia="Times New Roman" w:hAnsi="Times New Roman" w:cs="Times New Roman"/>
                <w:color w:val="000000" w:themeColor="text1"/>
                <w:sz w:val="20"/>
                <w:szCs w:val="20"/>
              </w:rPr>
              <w:t>s</w:t>
            </w:r>
            <w:r w:rsidR="00B76EAD" w:rsidRPr="4CF524A2">
              <w:rPr>
                <w:rFonts w:ascii="Times New Roman" w:eastAsia="Times New Roman" w:hAnsi="Times New Roman" w:cs="Times New Roman"/>
                <w:color w:val="000000" w:themeColor="text1"/>
                <w:sz w:val="20"/>
                <w:szCs w:val="20"/>
              </w:rPr>
              <w:t xml:space="preserve"> from around 10% to 102% (McGlynn et al.</w:t>
            </w:r>
            <w:r w:rsidR="00413971">
              <w:rPr>
                <w:rFonts w:ascii="Times New Roman" w:eastAsia="Times New Roman" w:hAnsi="Times New Roman" w:cs="Times New Roman"/>
                <w:color w:val="000000" w:themeColor="text1"/>
                <w:sz w:val="20"/>
                <w:szCs w:val="20"/>
              </w:rPr>
              <w:t>,</w:t>
            </w:r>
            <w:r w:rsidR="00B76EAD" w:rsidRPr="4CF524A2">
              <w:rPr>
                <w:rFonts w:ascii="Times New Roman" w:eastAsia="Times New Roman" w:hAnsi="Times New Roman" w:cs="Times New Roman"/>
                <w:color w:val="000000" w:themeColor="text1"/>
                <w:sz w:val="20"/>
                <w:szCs w:val="20"/>
              </w:rPr>
              <w:t xml:space="preserve"> 2022).</w:t>
            </w:r>
            <w:r w:rsidR="00E12EF8">
              <w:rPr>
                <w:rFonts w:ascii="Times New Roman" w:eastAsia="Times New Roman" w:hAnsi="Times New Roman" w:cs="Times New Roman"/>
                <w:color w:val="000000" w:themeColor="text1"/>
                <w:sz w:val="20"/>
                <w:szCs w:val="20"/>
              </w:rPr>
              <w:t xml:space="preserve"> </w:t>
            </w:r>
          </w:p>
          <w:p w14:paraId="2AFC9AC2" w14:textId="77777777" w:rsidR="00C22691" w:rsidRDefault="00C22691" w:rsidP="00503FEE">
            <w:pPr>
              <w:spacing w:after="0" w:line="240" w:lineRule="auto"/>
              <w:ind w:right="75"/>
              <w:jc w:val="both"/>
              <w:textAlignment w:val="baseline"/>
              <w:rPr>
                <w:rFonts w:ascii="Times New Roman" w:eastAsia="Times New Roman" w:hAnsi="Times New Roman" w:cs="Times New Roman"/>
                <w:color w:val="000000" w:themeColor="text1"/>
                <w:sz w:val="20"/>
                <w:szCs w:val="20"/>
              </w:rPr>
            </w:pPr>
          </w:p>
          <w:p w14:paraId="59F134F2" w14:textId="15EB53FD" w:rsidR="00C22691" w:rsidRDefault="008700FC" w:rsidP="00503FEE">
            <w:pPr>
              <w:spacing w:after="0" w:line="240" w:lineRule="auto"/>
              <w:ind w:right="75"/>
              <w:jc w:val="both"/>
              <w:textAlignment w:val="baseline"/>
              <w:rPr>
                <w:rFonts w:ascii="Times New Roman" w:eastAsia="Times New Roman" w:hAnsi="Times New Roman" w:cs="Times New Roman"/>
                <w:color w:val="000000"/>
                <w:sz w:val="20"/>
                <w:szCs w:val="20"/>
              </w:rPr>
            </w:pPr>
            <w:r w:rsidRPr="4D06E552">
              <w:rPr>
                <w:rFonts w:ascii="Times New Roman" w:eastAsia="Times New Roman" w:hAnsi="Times New Roman" w:cs="Times New Roman"/>
                <w:color w:val="000000" w:themeColor="text1"/>
                <w:sz w:val="20"/>
                <w:szCs w:val="20"/>
              </w:rPr>
              <w:t>Globally, the</w:t>
            </w:r>
            <w:r w:rsidR="00357209" w:rsidRPr="4D06E552">
              <w:rPr>
                <w:rFonts w:ascii="Times New Roman" w:eastAsia="Times New Roman" w:hAnsi="Times New Roman" w:cs="Times New Roman"/>
                <w:color w:val="000000" w:themeColor="text1"/>
                <w:sz w:val="20"/>
                <w:szCs w:val="20"/>
              </w:rPr>
              <w:t xml:space="preserve"> modeling and inventory</w:t>
            </w:r>
            <w:r w:rsidRPr="4D06E552">
              <w:rPr>
                <w:rFonts w:ascii="Times New Roman" w:eastAsia="Times New Roman" w:hAnsi="Times New Roman" w:cs="Times New Roman"/>
                <w:color w:val="000000" w:themeColor="text1"/>
                <w:sz w:val="20"/>
                <w:szCs w:val="20"/>
              </w:rPr>
              <w:t xml:space="preserve"> approaches yield annual GHG fluxes that differ by </w:t>
            </w:r>
            <w:r w:rsidR="00CF63A6" w:rsidRPr="4D06E552">
              <w:rPr>
                <w:rFonts w:ascii="Times New Roman" w:eastAsia="Times New Roman" w:hAnsi="Times New Roman" w:cs="Times New Roman"/>
                <w:color w:val="000000" w:themeColor="text1"/>
                <w:sz w:val="20"/>
                <w:szCs w:val="20"/>
              </w:rPr>
              <w:t xml:space="preserve">around 4 </w:t>
            </w:r>
            <w:r w:rsidRPr="4D06E552">
              <w:rPr>
                <w:rFonts w:ascii="Times New Roman" w:eastAsia="Times New Roman" w:hAnsi="Times New Roman" w:cs="Times New Roman"/>
                <w:color w:val="000000" w:themeColor="text1"/>
                <w:sz w:val="20"/>
                <w:szCs w:val="20"/>
              </w:rPr>
              <w:t>gigatons</w:t>
            </w:r>
            <w:r w:rsidR="00CF63A6" w:rsidRPr="4D06E552">
              <w:rPr>
                <w:rFonts w:ascii="Times New Roman" w:eastAsia="Times New Roman" w:hAnsi="Times New Roman" w:cs="Times New Roman"/>
                <w:color w:val="000000" w:themeColor="text1"/>
                <w:sz w:val="20"/>
                <w:szCs w:val="20"/>
              </w:rPr>
              <w:t xml:space="preserve"> per year (</w:t>
            </w:r>
            <w:r w:rsidR="00B31C5B" w:rsidRPr="4D06E552">
              <w:rPr>
                <w:rFonts w:ascii="Times New Roman" w:eastAsia="Times New Roman" w:hAnsi="Times New Roman" w:cs="Times New Roman"/>
                <w:color w:val="000000" w:themeColor="text1"/>
                <w:sz w:val="20"/>
                <w:szCs w:val="20"/>
              </w:rPr>
              <w:t>Gidden</w:t>
            </w:r>
            <w:r w:rsidR="00A569B9" w:rsidRPr="4D06E552">
              <w:rPr>
                <w:rFonts w:ascii="Times New Roman" w:eastAsia="Times New Roman" w:hAnsi="Times New Roman" w:cs="Times New Roman"/>
                <w:color w:val="000000" w:themeColor="text1"/>
                <w:sz w:val="20"/>
                <w:szCs w:val="20"/>
              </w:rPr>
              <w:t xml:space="preserve"> et al., 2023)</w:t>
            </w:r>
            <w:r w:rsidR="001360F6" w:rsidRPr="4D06E552">
              <w:rPr>
                <w:rFonts w:ascii="Times New Roman" w:eastAsia="Times New Roman" w:hAnsi="Times New Roman" w:cs="Times New Roman"/>
                <w:color w:val="000000" w:themeColor="text1"/>
                <w:sz w:val="20"/>
                <w:szCs w:val="20"/>
              </w:rPr>
              <w:t>, and there is no one single way to reconcile these two approaches</w:t>
            </w:r>
            <w:r w:rsidRPr="4D06E552">
              <w:rPr>
                <w:rFonts w:ascii="Times New Roman" w:eastAsia="Times New Roman" w:hAnsi="Times New Roman" w:cs="Times New Roman"/>
                <w:color w:val="000000" w:themeColor="text1"/>
                <w:sz w:val="20"/>
                <w:szCs w:val="20"/>
              </w:rPr>
              <w:t xml:space="preserve">. </w:t>
            </w:r>
            <w:r w:rsidR="003F4473">
              <w:rPr>
                <w:rFonts w:ascii="Times New Roman" w:eastAsia="Times New Roman" w:hAnsi="Times New Roman" w:cs="Times New Roman"/>
                <w:color w:val="000000" w:themeColor="text1"/>
                <w:sz w:val="20"/>
                <w:szCs w:val="20"/>
              </w:rPr>
              <w:t>However, a</w:t>
            </w:r>
            <w:r w:rsidR="00481F7F" w:rsidRPr="4D06E552">
              <w:rPr>
                <w:rFonts w:ascii="Times New Roman" w:eastAsia="Times New Roman" w:hAnsi="Times New Roman" w:cs="Times New Roman"/>
                <w:color w:val="000000" w:themeColor="text1"/>
                <w:sz w:val="20"/>
                <w:szCs w:val="20"/>
              </w:rPr>
              <w:t xml:space="preserve"> hybrid inventory approach</w:t>
            </w:r>
            <w:r w:rsidR="003554D6">
              <w:rPr>
                <w:rFonts w:ascii="Times New Roman" w:eastAsia="Times New Roman" w:hAnsi="Times New Roman" w:cs="Times New Roman"/>
                <w:color w:val="000000" w:themeColor="text1"/>
                <w:sz w:val="20"/>
                <w:szCs w:val="20"/>
              </w:rPr>
              <w:t xml:space="preserve"> </w:t>
            </w:r>
            <w:r w:rsidR="00481F7F" w:rsidRPr="4D06E552">
              <w:rPr>
                <w:rFonts w:ascii="Times New Roman" w:eastAsia="Times New Roman" w:hAnsi="Times New Roman" w:cs="Times New Roman"/>
                <w:color w:val="000000" w:themeColor="text1"/>
                <w:sz w:val="20"/>
                <w:szCs w:val="20"/>
              </w:rPr>
              <w:t xml:space="preserve">based on </w:t>
            </w:r>
            <w:r w:rsidR="00C82E44" w:rsidRPr="4D06E552">
              <w:rPr>
                <w:rFonts w:ascii="Times New Roman" w:eastAsia="Times New Roman" w:hAnsi="Times New Roman" w:cs="Times New Roman"/>
                <w:color w:val="000000" w:themeColor="text1"/>
                <w:sz w:val="20"/>
                <w:szCs w:val="20"/>
              </w:rPr>
              <w:t>satellite</w:t>
            </w:r>
            <w:r w:rsidR="00AE694E" w:rsidRPr="4D06E552">
              <w:rPr>
                <w:rFonts w:ascii="Times New Roman" w:eastAsia="Times New Roman" w:hAnsi="Times New Roman" w:cs="Times New Roman"/>
                <w:color w:val="000000" w:themeColor="text1"/>
                <w:sz w:val="20"/>
                <w:szCs w:val="20"/>
              </w:rPr>
              <w:t xml:space="preserve"> data</w:t>
            </w:r>
            <w:r w:rsidR="00334705" w:rsidRPr="4D06E552">
              <w:rPr>
                <w:rFonts w:ascii="Times New Roman" w:eastAsia="Times New Roman" w:hAnsi="Times New Roman" w:cs="Times New Roman"/>
                <w:color w:val="000000" w:themeColor="text1"/>
                <w:sz w:val="20"/>
                <w:szCs w:val="20"/>
              </w:rPr>
              <w:t xml:space="preserve"> </w:t>
            </w:r>
            <w:r w:rsidR="00CA08C6" w:rsidRPr="4D06E552">
              <w:rPr>
                <w:rFonts w:ascii="Times New Roman" w:eastAsia="Times New Roman" w:hAnsi="Times New Roman" w:cs="Times New Roman"/>
                <w:color w:val="000000" w:themeColor="text1"/>
                <w:sz w:val="20"/>
                <w:szCs w:val="20"/>
              </w:rPr>
              <w:t xml:space="preserve">to </w:t>
            </w:r>
            <w:r w:rsidR="00A53003" w:rsidRPr="4D06E552">
              <w:rPr>
                <w:rFonts w:ascii="Times New Roman" w:eastAsia="Times New Roman" w:hAnsi="Times New Roman" w:cs="Times New Roman"/>
                <w:color w:val="000000" w:themeColor="text1"/>
                <w:sz w:val="20"/>
                <w:szCs w:val="20"/>
              </w:rPr>
              <w:t>estimate the are</w:t>
            </w:r>
            <w:r w:rsidR="002F54ED" w:rsidRPr="4D06E552">
              <w:rPr>
                <w:rFonts w:ascii="Times New Roman" w:eastAsia="Times New Roman" w:hAnsi="Times New Roman" w:cs="Times New Roman"/>
                <w:color w:val="000000" w:themeColor="text1"/>
                <w:sz w:val="20"/>
                <w:szCs w:val="20"/>
              </w:rPr>
              <w:t>a</w:t>
            </w:r>
            <w:r w:rsidR="00A53003" w:rsidRPr="4D06E552">
              <w:rPr>
                <w:rFonts w:ascii="Times New Roman" w:eastAsia="Times New Roman" w:hAnsi="Times New Roman" w:cs="Times New Roman"/>
                <w:color w:val="000000" w:themeColor="text1"/>
                <w:sz w:val="20"/>
                <w:szCs w:val="20"/>
              </w:rPr>
              <w:t xml:space="preserve"> of </w:t>
            </w:r>
            <w:r w:rsidR="00334705" w:rsidRPr="4D06E552">
              <w:rPr>
                <w:rFonts w:ascii="Times New Roman" w:eastAsia="Times New Roman" w:hAnsi="Times New Roman" w:cs="Times New Roman"/>
                <w:color w:val="000000" w:themeColor="text1"/>
                <w:sz w:val="20"/>
                <w:szCs w:val="20"/>
              </w:rPr>
              <w:t>countries’</w:t>
            </w:r>
            <w:r w:rsidR="008928F2" w:rsidRPr="4D06E552">
              <w:rPr>
                <w:rFonts w:ascii="Times New Roman" w:eastAsia="Times New Roman" w:hAnsi="Times New Roman" w:cs="Times New Roman"/>
                <w:color w:val="000000" w:themeColor="text1"/>
                <w:sz w:val="20"/>
                <w:szCs w:val="20"/>
              </w:rPr>
              <w:t xml:space="preserve"> </w:t>
            </w:r>
            <w:r w:rsidR="00BC01A9" w:rsidRPr="4D06E552">
              <w:rPr>
                <w:rFonts w:ascii="Times New Roman" w:eastAsia="Times New Roman" w:hAnsi="Times New Roman" w:cs="Times New Roman"/>
                <w:color w:val="000000" w:themeColor="text1"/>
                <w:sz w:val="20"/>
                <w:szCs w:val="20"/>
              </w:rPr>
              <w:t>managed forests</w:t>
            </w:r>
            <w:r w:rsidR="00A53003" w:rsidRPr="4D06E552">
              <w:rPr>
                <w:rFonts w:ascii="Times New Roman" w:eastAsia="Times New Roman" w:hAnsi="Times New Roman" w:cs="Times New Roman"/>
                <w:color w:val="000000" w:themeColor="text1"/>
                <w:sz w:val="20"/>
                <w:szCs w:val="20"/>
              </w:rPr>
              <w:t>,</w:t>
            </w:r>
            <w:r w:rsidR="00F97C21" w:rsidRPr="4D06E552">
              <w:rPr>
                <w:rFonts w:ascii="Times New Roman" w:eastAsia="Times New Roman" w:hAnsi="Times New Roman" w:cs="Times New Roman"/>
                <w:color w:val="000000" w:themeColor="text1"/>
                <w:sz w:val="20"/>
                <w:szCs w:val="20"/>
              </w:rPr>
              <w:t xml:space="preserve"> along</w:t>
            </w:r>
            <w:r w:rsidR="00727C07" w:rsidRPr="4D06E552">
              <w:rPr>
                <w:rFonts w:ascii="Times New Roman" w:eastAsia="Times New Roman" w:hAnsi="Times New Roman" w:cs="Times New Roman"/>
                <w:color w:val="000000" w:themeColor="text1"/>
                <w:sz w:val="20"/>
                <w:szCs w:val="20"/>
              </w:rPr>
              <w:t xml:space="preserve"> with the</w:t>
            </w:r>
            <w:r w:rsidR="00144902" w:rsidRPr="4D06E552">
              <w:rPr>
                <w:rFonts w:ascii="Times New Roman" w:eastAsia="Times New Roman" w:hAnsi="Times New Roman" w:cs="Times New Roman"/>
                <w:color w:val="000000" w:themeColor="text1"/>
                <w:sz w:val="20"/>
                <w:szCs w:val="20"/>
              </w:rPr>
              <w:t xml:space="preserve"> IPCC tier 1 approach</w:t>
            </w:r>
            <w:r w:rsidR="000C29E2" w:rsidRPr="4D06E552">
              <w:rPr>
                <w:rFonts w:ascii="Times New Roman" w:eastAsia="Times New Roman" w:hAnsi="Times New Roman" w:cs="Times New Roman"/>
                <w:color w:val="000000" w:themeColor="text1"/>
                <w:sz w:val="20"/>
                <w:szCs w:val="20"/>
              </w:rPr>
              <w:t xml:space="preserve"> (Crippa, 2023; Grassi et al., 2023</w:t>
            </w:r>
            <w:r w:rsidR="00B251F7">
              <w:rPr>
                <w:rFonts w:ascii="Times New Roman" w:eastAsia="Times New Roman" w:hAnsi="Times New Roman" w:cs="Times New Roman"/>
                <w:color w:val="000000" w:themeColor="text1"/>
                <w:sz w:val="20"/>
                <w:szCs w:val="20"/>
              </w:rPr>
              <w:t>), can</w:t>
            </w:r>
            <w:r w:rsidR="00B316A7" w:rsidRPr="4D06E552">
              <w:rPr>
                <w:rFonts w:ascii="Times New Roman" w:eastAsia="Times New Roman" w:hAnsi="Times New Roman" w:cs="Times New Roman"/>
                <w:color w:val="000000" w:themeColor="text1"/>
                <w:sz w:val="20"/>
                <w:szCs w:val="20"/>
              </w:rPr>
              <w:t xml:space="preserve"> </w:t>
            </w:r>
            <w:r w:rsidR="00481F7F" w:rsidRPr="4D06E552">
              <w:rPr>
                <w:rFonts w:ascii="Times New Roman" w:eastAsia="Times New Roman" w:hAnsi="Times New Roman" w:cs="Times New Roman"/>
                <w:color w:val="000000" w:themeColor="text1"/>
                <w:sz w:val="20"/>
                <w:szCs w:val="20"/>
              </w:rPr>
              <w:t>reduce global biases</w:t>
            </w:r>
            <w:r w:rsidR="008A5115">
              <w:rPr>
                <w:rFonts w:ascii="Times New Roman" w:eastAsia="Times New Roman" w:hAnsi="Times New Roman" w:cs="Times New Roman"/>
                <w:color w:val="000000" w:themeColor="text1"/>
                <w:sz w:val="20"/>
                <w:szCs w:val="20"/>
              </w:rPr>
              <w:t>,</w:t>
            </w:r>
            <w:r w:rsidR="00481F7F" w:rsidRPr="4D06E552">
              <w:rPr>
                <w:rFonts w:ascii="Times New Roman" w:eastAsia="Times New Roman" w:hAnsi="Times New Roman" w:cs="Times New Roman"/>
                <w:color w:val="000000" w:themeColor="text1"/>
                <w:sz w:val="20"/>
                <w:szCs w:val="20"/>
              </w:rPr>
              <w:t xml:space="preserve"> </w:t>
            </w:r>
            <w:r w:rsidR="00EA4D2A" w:rsidRPr="4D06E552">
              <w:rPr>
                <w:rFonts w:ascii="Times New Roman" w:eastAsia="Times New Roman" w:hAnsi="Times New Roman" w:cs="Times New Roman"/>
                <w:color w:val="000000" w:themeColor="text1"/>
                <w:sz w:val="20"/>
                <w:szCs w:val="20"/>
              </w:rPr>
              <w:t xml:space="preserve">and </w:t>
            </w:r>
            <w:r w:rsidR="00481F7F" w:rsidRPr="4D06E552">
              <w:rPr>
                <w:rFonts w:ascii="Times New Roman" w:eastAsia="Times New Roman" w:hAnsi="Times New Roman" w:cs="Times New Roman"/>
                <w:color w:val="000000" w:themeColor="text1"/>
                <w:sz w:val="20"/>
                <w:szCs w:val="20"/>
              </w:rPr>
              <w:t>still largely reflect</w:t>
            </w:r>
            <w:r w:rsidR="00226873" w:rsidRPr="4D06E552">
              <w:rPr>
                <w:rFonts w:ascii="Times New Roman" w:eastAsia="Times New Roman" w:hAnsi="Times New Roman" w:cs="Times New Roman"/>
                <w:color w:val="000000" w:themeColor="text1"/>
                <w:sz w:val="20"/>
                <w:szCs w:val="20"/>
              </w:rPr>
              <w:t>s</w:t>
            </w:r>
            <w:r w:rsidR="00481F7F" w:rsidRPr="4D06E552">
              <w:rPr>
                <w:rFonts w:ascii="Times New Roman" w:eastAsia="Times New Roman" w:hAnsi="Times New Roman" w:cs="Times New Roman"/>
                <w:color w:val="000000" w:themeColor="text1"/>
                <w:sz w:val="20"/>
                <w:szCs w:val="20"/>
              </w:rPr>
              <w:t xml:space="preserve"> country inventory submissions. </w:t>
            </w:r>
            <w:r w:rsidR="00D11B8A" w:rsidRPr="4D06E552">
              <w:rPr>
                <w:rFonts w:ascii="Times New Roman" w:eastAsia="Times New Roman" w:hAnsi="Times New Roman" w:cs="Times New Roman"/>
                <w:color w:val="000000" w:themeColor="text1"/>
                <w:sz w:val="20"/>
                <w:szCs w:val="20"/>
              </w:rPr>
              <w:t xml:space="preserve">The </w:t>
            </w:r>
            <w:r w:rsidR="00207AAA" w:rsidRPr="4D06E552">
              <w:rPr>
                <w:rFonts w:ascii="Times New Roman" w:eastAsia="Times New Roman" w:hAnsi="Times New Roman" w:cs="Times New Roman"/>
                <w:color w:val="000000" w:themeColor="text1"/>
                <w:sz w:val="20"/>
                <w:szCs w:val="20"/>
              </w:rPr>
              <w:t xml:space="preserve">global emissions </w:t>
            </w:r>
            <w:r w:rsidR="00D11B8A" w:rsidRPr="4D06E552">
              <w:rPr>
                <w:rFonts w:ascii="Times New Roman" w:eastAsia="Times New Roman" w:hAnsi="Times New Roman" w:cs="Times New Roman"/>
                <w:color w:val="000000" w:themeColor="text1"/>
                <w:sz w:val="20"/>
                <w:szCs w:val="20"/>
              </w:rPr>
              <w:t xml:space="preserve">difference between the hybrid inventory approach and </w:t>
            </w:r>
            <w:r w:rsidR="00297CCB" w:rsidRPr="4D06E552">
              <w:rPr>
                <w:rFonts w:ascii="Times New Roman" w:eastAsia="Times New Roman" w:hAnsi="Times New Roman" w:cs="Times New Roman"/>
                <w:color w:val="000000" w:themeColor="text1"/>
                <w:sz w:val="20"/>
                <w:szCs w:val="20"/>
              </w:rPr>
              <w:t xml:space="preserve">regular </w:t>
            </w:r>
            <w:r w:rsidR="00D11B8A" w:rsidRPr="4D06E552">
              <w:rPr>
                <w:rFonts w:ascii="Times New Roman" w:eastAsia="Times New Roman" w:hAnsi="Times New Roman" w:cs="Times New Roman"/>
                <w:color w:val="000000" w:themeColor="text1"/>
                <w:sz w:val="20"/>
                <w:szCs w:val="20"/>
              </w:rPr>
              <w:t xml:space="preserve">inventory approach is lower—around </w:t>
            </w:r>
            <w:r w:rsidR="003A4EDC" w:rsidRPr="4D06E552">
              <w:rPr>
                <w:rFonts w:ascii="Times New Roman" w:eastAsia="Times New Roman" w:hAnsi="Times New Roman" w:cs="Times New Roman"/>
                <w:color w:val="000000" w:themeColor="text1"/>
                <w:sz w:val="20"/>
                <w:szCs w:val="20"/>
              </w:rPr>
              <w:t>0.6</w:t>
            </w:r>
            <w:r w:rsidR="00D11B8A" w:rsidRPr="4D06E552">
              <w:rPr>
                <w:rFonts w:ascii="Times New Roman" w:eastAsia="Times New Roman" w:hAnsi="Times New Roman" w:cs="Times New Roman"/>
                <w:color w:val="000000" w:themeColor="text1"/>
                <w:sz w:val="20"/>
                <w:szCs w:val="20"/>
              </w:rPr>
              <w:t xml:space="preserve"> gigatons per year</w:t>
            </w:r>
            <w:r w:rsidR="00605862" w:rsidRPr="4D06E552">
              <w:rPr>
                <w:rFonts w:ascii="Times New Roman" w:eastAsia="Times New Roman" w:hAnsi="Times New Roman" w:cs="Times New Roman"/>
                <w:color w:val="000000" w:themeColor="text1"/>
                <w:sz w:val="20"/>
                <w:szCs w:val="20"/>
              </w:rPr>
              <w:t xml:space="preserve"> (based on 2020)</w:t>
            </w:r>
            <w:r w:rsidR="00D11B8A" w:rsidRPr="4D06E552">
              <w:rPr>
                <w:rFonts w:ascii="Times New Roman" w:eastAsia="Times New Roman" w:hAnsi="Times New Roman" w:cs="Times New Roman"/>
                <w:color w:val="000000" w:themeColor="text1"/>
                <w:sz w:val="20"/>
                <w:szCs w:val="20"/>
              </w:rPr>
              <w:t>.</w:t>
            </w:r>
            <w:r w:rsidR="000A04B0" w:rsidRPr="4D06E552">
              <w:rPr>
                <w:rFonts w:ascii="Times New Roman" w:eastAsia="Times New Roman" w:hAnsi="Times New Roman" w:cs="Times New Roman"/>
                <w:color w:val="000000" w:themeColor="text1"/>
                <w:sz w:val="20"/>
                <w:szCs w:val="20"/>
              </w:rPr>
              <w:t xml:space="preserve"> </w:t>
            </w:r>
            <w:r w:rsidR="002B266A" w:rsidRPr="4D06E552">
              <w:rPr>
                <w:rFonts w:ascii="Times New Roman" w:eastAsia="Times New Roman" w:hAnsi="Times New Roman" w:cs="Times New Roman"/>
                <w:color w:val="000000" w:themeColor="text1"/>
                <w:sz w:val="20"/>
                <w:szCs w:val="20"/>
              </w:rPr>
              <w:t xml:space="preserve">The CSC </w:t>
            </w:r>
            <w:r w:rsidR="00297CCB" w:rsidRPr="4D06E552">
              <w:rPr>
                <w:rFonts w:ascii="Times New Roman" w:eastAsia="Times New Roman" w:hAnsi="Times New Roman" w:cs="Times New Roman"/>
                <w:color w:val="000000" w:themeColor="text1"/>
                <w:sz w:val="20"/>
                <w:szCs w:val="20"/>
              </w:rPr>
              <w:t xml:space="preserve">GHG emissions </w:t>
            </w:r>
            <w:r w:rsidR="001360F6" w:rsidRPr="4D06E552">
              <w:rPr>
                <w:rFonts w:ascii="Times New Roman" w:eastAsia="Times New Roman" w:hAnsi="Times New Roman" w:cs="Times New Roman"/>
                <w:color w:val="000000" w:themeColor="text1"/>
                <w:sz w:val="20"/>
                <w:szCs w:val="20"/>
              </w:rPr>
              <w:t>indicator</w:t>
            </w:r>
            <w:r w:rsidR="002F54ED" w:rsidRPr="4D06E552">
              <w:rPr>
                <w:rFonts w:ascii="Times New Roman" w:eastAsia="Times New Roman" w:hAnsi="Times New Roman" w:cs="Times New Roman"/>
                <w:color w:val="000000" w:themeColor="text1"/>
                <w:sz w:val="20"/>
                <w:szCs w:val="20"/>
              </w:rPr>
              <w:t xml:space="preserve"> </w:t>
            </w:r>
            <w:r w:rsidR="00E27EBC" w:rsidRPr="4D06E552">
              <w:rPr>
                <w:rFonts w:ascii="Times New Roman" w:eastAsia="Times New Roman" w:hAnsi="Times New Roman" w:cs="Times New Roman"/>
                <w:color w:val="000000" w:themeColor="text1"/>
                <w:sz w:val="20"/>
                <w:szCs w:val="20"/>
              </w:rPr>
              <w:t xml:space="preserve">uses </w:t>
            </w:r>
            <w:r w:rsidR="00C93A43">
              <w:rPr>
                <w:rFonts w:ascii="Times New Roman" w:eastAsia="Times New Roman" w:hAnsi="Times New Roman" w:cs="Times New Roman"/>
                <w:color w:val="000000" w:themeColor="text1"/>
                <w:sz w:val="20"/>
                <w:szCs w:val="20"/>
              </w:rPr>
              <w:t xml:space="preserve">the hybrid inventory </w:t>
            </w:r>
            <w:r w:rsidR="00C65736" w:rsidRPr="4D06E552">
              <w:rPr>
                <w:rFonts w:ascii="Times New Roman" w:eastAsia="Times New Roman" w:hAnsi="Times New Roman" w:cs="Times New Roman"/>
                <w:color w:val="000000" w:themeColor="text1"/>
                <w:sz w:val="20"/>
                <w:szCs w:val="20"/>
              </w:rPr>
              <w:t>approaches</w:t>
            </w:r>
            <w:r w:rsidR="00E27EBC" w:rsidRPr="4D06E552">
              <w:rPr>
                <w:rFonts w:ascii="Times New Roman" w:eastAsia="Times New Roman" w:hAnsi="Times New Roman" w:cs="Times New Roman"/>
                <w:color w:val="000000" w:themeColor="text1"/>
                <w:sz w:val="20"/>
                <w:szCs w:val="20"/>
              </w:rPr>
              <w:t xml:space="preserve"> for global emissions </w:t>
            </w:r>
            <w:r w:rsidR="00C65736" w:rsidRPr="4D06E552">
              <w:rPr>
                <w:rFonts w:ascii="Times New Roman" w:eastAsia="Times New Roman" w:hAnsi="Times New Roman" w:cs="Times New Roman"/>
                <w:color w:val="000000" w:themeColor="text1"/>
                <w:sz w:val="20"/>
                <w:szCs w:val="20"/>
              </w:rPr>
              <w:t xml:space="preserve">and </w:t>
            </w:r>
            <w:r w:rsidR="00345562">
              <w:rPr>
                <w:rFonts w:ascii="Times New Roman" w:eastAsia="Times New Roman" w:hAnsi="Times New Roman" w:cs="Times New Roman"/>
                <w:color w:val="000000" w:themeColor="text1"/>
                <w:sz w:val="20"/>
                <w:szCs w:val="20"/>
              </w:rPr>
              <w:t xml:space="preserve">standard inventory approach for </w:t>
            </w:r>
            <w:r w:rsidR="002D4E1E">
              <w:rPr>
                <w:rFonts w:ascii="Times New Roman" w:eastAsia="Times New Roman" w:hAnsi="Times New Roman" w:cs="Times New Roman"/>
                <w:color w:val="000000" w:themeColor="text1"/>
                <w:sz w:val="20"/>
                <w:szCs w:val="20"/>
              </w:rPr>
              <w:t xml:space="preserve">the </w:t>
            </w:r>
            <w:r w:rsidR="000A04B0" w:rsidRPr="4D06E552">
              <w:rPr>
                <w:rFonts w:ascii="Times New Roman" w:eastAsia="Times New Roman" w:hAnsi="Times New Roman" w:cs="Times New Roman"/>
                <w:color w:val="000000" w:themeColor="text1"/>
                <w:sz w:val="20"/>
                <w:szCs w:val="20"/>
              </w:rPr>
              <w:t>country estimates</w:t>
            </w:r>
            <w:r w:rsidR="003B1D99" w:rsidRPr="4D06E552">
              <w:rPr>
                <w:rFonts w:ascii="Times New Roman" w:eastAsia="Times New Roman" w:hAnsi="Times New Roman" w:cs="Times New Roman"/>
                <w:color w:val="000000" w:themeColor="text1"/>
                <w:sz w:val="20"/>
                <w:szCs w:val="20"/>
              </w:rPr>
              <w:t>.</w:t>
            </w:r>
            <w:r w:rsidR="00C22691" w:rsidRPr="4D06E552">
              <w:rPr>
                <w:rFonts w:ascii="Times New Roman" w:eastAsia="Times New Roman" w:hAnsi="Times New Roman" w:cs="Times New Roman"/>
                <w:color w:val="000000" w:themeColor="text1"/>
                <w:sz w:val="20"/>
                <w:szCs w:val="20"/>
              </w:rPr>
              <w:t xml:space="preserve"> </w:t>
            </w:r>
          </w:p>
          <w:p w14:paraId="7A3F5367" w14:textId="3569748D"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EC74CBC" w14:textId="0C7D9D8F" w:rsidR="00A2510D" w:rsidRPr="00423737" w:rsidRDefault="004B75F4" w:rsidP="00423737">
            <w:pPr>
              <w:spacing w:after="0" w:line="240" w:lineRule="auto"/>
              <w:ind w:right="75"/>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Data that are used to </w:t>
            </w:r>
            <w:r w:rsidR="008D7FD7">
              <w:rPr>
                <w:rFonts w:ascii="Times New Roman" w:eastAsia="Times New Roman" w:hAnsi="Times New Roman" w:cs="Times New Roman"/>
                <w:color w:val="000000"/>
                <w:sz w:val="20"/>
                <w:szCs w:val="20"/>
              </w:rPr>
              <w:t>estimate</w:t>
            </w:r>
            <w:r>
              <w:rPr>
                <w:rFonts w:ascii="Times New Roman" w:eastAsia="Times New Roman" w:hAnsi="Times New Roman" w:cs="Times New Roman"/>
                <w:color w:val="000000"/>
                <w:sz w:val="20"/>
                <w:szCs w:val="20"/>
              </w:rPr>
              <w:t xml:space="preserve"> country-level emissions are </w:t>
            </w:r>
            <w:r w:rsidR="001F2F50">
              <w:rPr>
                <w:rFonts w:ascii="Times New Roman" w:eastAsia="Times New Roman" w:hAnsi="Times New Roman" w:cs="Times New Roman"/>
                <w:color w:val="000000"/>
                <w:sz w:val="20"/>
                <w:szCs w:val="20"/>
              </w:rPr>
              <w:t xml:space="preserve">not available </w:t>
            </w:r>
            <w:r w:rsidR="00722D7E">
              <w:rPr>
                <w:rFonts w:ascii="Times New Roman" w:eastAsia="Times New Roman" w:hAnsi="Times New Roman" w:cs="Times New Roman"/>
                <w:color w:val="000000"/>
                <w:sz w:val="20"/>
                <w:szCs w:val="20"/>
              </w:rPr>
              <w:t xml:space="preserve">in real time and </w:t>
            </w:r>
            <w:r w:rsidR="00CB3DB0">
              <w:rPr>
                <w:rFonts w:ascii="Times New Roman" w:eastAsia="Times New Roman" w:hAnsi="Times New Roman" w:cs="Times New Roman"/>
                <w:color w:val="000000"/>
                <w:sz w:val="20"/>
                <w:szCs w:val="20"/>
              </w:rPr>
              <w:t xml:space="preserve">are </w:t>
            </w:r>
            <w:r w:rsidR="00835506">
              <w:rPr>
                <w:rFonts w:ascii="Times New Roman" w:eastAsia="Times New Roman" w:hAnsi="Times New Roman" w:cs="Times New Roman"/>
                <w:color w:val="000000"/>
                <w:sz w:val="20"/>
                <w:szCs w:val="20"/>
              </w:rPr>
              <w:t xml:space="preserve">generally </w:t>
            </w:r>
            <w:r w:rsidR="00CB3DB0">
              <w:rPr>
                <w:rFonts w:ascii="Times New Roman" w:eastAsia="Times New Roman" w:hAnsi="Times New Roman" w:cs="Times New Roman"/>
                <w:color w:val="000000"/>
                <w:sz w:val="20"/>
                <w:szCs w:val="20"/>
              </w:rPr>
              <w:t xml:space="preserve">compiled with a </w:t>
            </w:r>
            <w:r w:rsidR="00294E18">
              <w:rPr>
                <w:rFonts w:ascii="Times New Roman" w:eastAsia="Times New Roman" w:hAnsi="Times New Roman" w:cs="Times New Roman"/>
                <w:color w:val="000000"/>
                <w:sz w:val="20"/>
                <w:szCs w:val="20"/>
              </w:rPr>
              <w:t>2-to-3-year</w:t>
            </w:r>
            <w:r w:rsidR="00CB3DB0">
              <w:rPr>
                <w:rFonts w:ascii="Times New Roman" w:eastAsia="Times New Roman" w:hAnsi="Times New Roman" w:cs="Times New Roman"/>
                <w:color w:val="000000"/>
                <w:sz w:val="20"/>
                <w:szCs w:val="20"/>
              </w:rPr>
              <w:t xml:space="preserve"> delay. T</w:t>
            </w:r>
            <w:r w:rsidR="00423737" w:rsidRPr="00423737">
              <w:rPr>
                <w:rFonts w:ascii="Times New Roman" w:eastAsia="Times New Roman" w:hAnsi="Times New Roman" w:cs="Times New Roman"/>
                <w:color w:val="000000"/>
                <w:sz w:val="20"/>
                <w:szCs w:val="20"/>
              </w:rPr>
              <w:t xml:space="preserve">o present the most up-to-date estimate of global GHG emissions, this indicator </w:t>
            </w:r>
            <w:r w:rsidR="005F4FA6">
              <w:rPr>
                <w:rFonts w:ascii="Times New Roman" w:eastAsia="Times New Roman" w:hAnsi="Times New Roman" w:cs="Times New Roman"/>
                <w:color w:val="000000"/>
                <w:sz w:val="20"/>
                <w:szCs w:val="20"/>
              </w:rPr>
              <w:t>is based on a source that include</w:t>
            </w:r>
            <w:r w:rsidR="001F5808">
              <w:rPr>
                <w:rFonts w:ascii="Times New Roman" w:eastAsia="Times New Roman" w:hAnsi="Times New Roman" w:cs="Times New Roman"/>
                <w:color w:val="000000"/>
                <w:sz w:val="20"/>
                <w:szCs w:val="20"/>
              </w:rPr>
              <w:t>s</w:t>
            </w:r>
            <w:r w:rsidR="005F4FA6">
              <w:rPr>
                <w:rFonts w:ascii="Times New Roman" w:eastAsia="Times New Roman" w:hAnsi="Times New Roman" w:cs="Times New Roman"/>
                <w:color w:val="000000"/>
                <w:sz w:val="20"/>
                <w:szCs w:val="20"/>
              </w:rPr>
              <w:t xml:space="preserve"> </w:t>
            </w:r>
            <w:r w:rsidR="00423737" w:rsidRPr="00423737">
              <w:rPr>
                <w:rFonts w:ascii="Times New Roman" w:eastAsia="Times New Roman" w:hAnsi="Times New Roman" w:cs="Times New Roman"/>
                <w:color w:val="000000"/>
                <w:sz w:val="20"/>
                <w:szCs w:val="20"/>
              </w:rPr>
              <w:t xml:space="preserve">preliminary estimates </w:t>
            </w:r>
            <w:r w:rsidR="005F4FA6">
              <w:rPr>
                <w:rFonts w:ascii="Times New Roman" w:eastAsia="Times New Roman" w:hAnsi="Times New Roman" w:cs="Times New Roman"/>
                <w:color w:val="000000"/>
                <w:sz w:val="20"/>
                <w:szCs w:val="20"/>
              </w:rPr>
              <w:t xml:space="preserve">for </w:t>
            </w:r>
            <w:r w:rsidR="00294E18">
              <w:rPr>
                <w:rFonts w:ascii="Times New Roman" w:eastAsia="Times New Roman" w:hAnsi="Times New Roman" w:cs="Times New Roman"/>
                <w:color w:val="000000"/>
                <w:sz w:val="20"/>
                <w:szCs w:val="20"/>
              </w:rPr>
              <w:t xml:space="preserve">the most recent two years. As such, these figures </w:t>
            </w:r>
            <w:r w:rsidR="00423737" w:rsidRPr="00423737">
              <w:rPr>
                <w:rFonts w:ascii="Times New Roman" w:eastAsia="Times New Roman" w:hAnsi="Times New Roman" w:cs="Times New Roman"/>
                <w:color w:val="000000"/>
                <w:sz w:val="20"/>
                <w:szCs w:val="20"/>
              </w:rPr>
              <w:t>may be modified in the future</w:t>
            </w:r>
            <w:r w:rsidR="00294E18">
              <w:rPr>
                <w:rFonts w:ascii="Times New Roman" w:eastAsia="Times New Roman" w:hAnsi="Times New Roman" w:cs="Times New Roman"/>
                <w:color w:val="000000"/>
                <w:sz w:val="20"/>
                <w:szCs w:val="20"/>
              </w:rPr>
              <w:t>, although f</w:t>
            </w:r>
            <w:r w:rsidR="00423737" w:rsidRPr="00423737">
              <w:rPr>
                <w:rFonts w:ascii="Times New Roman" w:eastAsia="Times New Roman" w:hAnsi="Times New Roman" w:cs="Times New Roman"/>
                <w:color w:val="000000"/>
                <w:sz w:val="20"/>
                <w:szCs w:val="20"/>
              </w:rPr>
              <w:t>uture changes are not expected to be large</w:t>
            </w:r>
            <w:r w:rsidR="00A7354A">
              <w:rPr>
                <w:rFonts w:ascii="Times New Roman" w:eastAsia="Times New Roman" w:hAnsi="Times New Roman" w:cs="Times New Roman"/>
                <w:color w:val="000000"/>
                <w:sz w:val="20"/>
                <w:szCs w:val="20"/>
              </w:rPr>
              <w:t>,</w:t>
            </w:r>
            <w:r w:rsidR="00423737" w:rsidRPr="00423737">
              <w:rPr>
                <w:rFonts w:ascii="Times New Roman" w:eastAsia="Times New Roman" w:hAnsi="Times New Roman" w:cs="Times New Roman"/>
                <w:color w:val="000000"/>
                <w:sz w:val="20"/>
                <w:szCs w:val="20"/>
              </w:rPr>
              <w:t xml:space="preserve"> and are unlikely to change the overarching conclusions from the indicator. </w:t>
            </w:r>
            <w:r w:rsidR="009A50EA">
              <w:rPr>
                <w:rFonts w:ascii="Times New Roman" w:eastAsia="Times New Roman" w:hAnsi="Times New Roman" w:cs="Times New Roman"/>
                <w:color w:val="000000"/>
                <w:sz w:val="20"/>
                <w:szCs w:val="20"/>
              </w:rPr>
              <w:t>U</w:t>
            </w:r>
            <w:r w:rsidR="00423737" w:rsidRPr="00423737">
              <w:rPr>
                <w:rFonts w:ascii="Times New Roman" w:eastAsia="Times New Roman" w:hAnsi="Times New Roman" w:cs="Times New Roman"/>
                <w:color w:val="000000"/>
                <w:sz w:val="20"/>
                <w:szCs w:val="20"/>
              </w:rPr>
              <w:t xml:space="preserve">sing the most recent data, even though it is preliminary, seems to be an acceptable choice for this global indicator, which is expected to change slowly over time. </w:t>
            </w:r>
          </w:p>
          <w:p w14:paraId="049EC91E" w14:textId="24B830CE" w:rsidR="00146B3E" w:rsidRPr="0054513B" w:rsidRDefault="00146B3E" w:rsidP="00142E13">
            <w:pPr>
              <w:spacing w:after="0" w:line="240" w:lineRule="auto"/>
              <w:ind w:right="75"/>
              <w:jc w:val="both"/>
              <w:textAlignment w:val="baseline"/>
              <w:rPr>
                <w:rFonts w:ascii="Times New Roman" w:eastAsia="Times New Roman" w:hAnsi="Times New Roman" w:cs="Times New Roman"/>
                <w:i/>
                <w:iCs/>
                <w:sz w:val="20"/>
                <w:szCs w:val="20"/>
              </w:rPr>
            </w:pPr>
          </w:p>
        </w:tc>
      </w:tr>
      <w:tr w:rsidR="00CC6D15" w:rsidRPr="0054513B" w14:paraId="6952FD54" w14:textId="77777777" w:rsidTr="2BFF1B7A">
        <w:trPr>
          <w:trHeight w:val="420"/>
        </w:trPr>
        <w:tc>
          <w:tcPr>
            <w:tcW w:w="9621" w:type="dxa"/>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1AE8A01B" w14:textId="60393E30" w:rsidR="00CC6D15" w:rsidRPr="0054513B" w:rsidRDefault="009F6DED" w:rsidP="00F65E5B">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DATA AND CALCULATION</w:t>
            </w:r>
          </w:p>
        </w:tc>
      </w:tr>
      <w:tr w:rsidR="00CC6D15" w:rsidRPr="0054513B" w14:paraId="310A8E34" w14:textId="77777777" w:rsidTr="2BFF1B7A">
        <w:trPr>
          <w:trHeight w:val="525"/>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C645357" w14:textId="77777777" w:rsidR="00CC6D15" w:rsidRPr="0054513B"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Data source(s)</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D6BDB17" w14:textId="77777777" w:rsidR="00C5190A" w:rsidRPr="00D701AE" w:rsidRDefault="00C5190A" w:rsidP="00142E13">
            <w:pPr>
              <w:spacing w:after="0" w:line="240" w:lineRule="auto"/>
              <w:ind w:right="75"/>
              <w:textAlignment w:val="baseline"/>
              <w:rPr>
                <w:rFonts w:eastAsia="Times New Roman" w:cstheme="minorHAnsi"/>
                <w:i/>
                <w:sz w:val="18"/>
                <w:szCs w:val="18"/>
              </w:rPr>
            </w:pPr>
          </w:p>
          <w:p w14:paraId="249103A3" w14:textId="38056B47" w:rsidR="00CC6D15" w:rsidRPr="00D701AE" w:rsidRDefault="00560F5C" w:rsidP="00142E13">
            <w:pPr>
              <w:spacing w:after="0" w:line="240" w:lineRule="auto"/>
              <w:ind w:right="75"/>
              <w:textAlignment w:val="baseline"/>
              <w:rPr>
                <w:rFonts w:eastAsia="Times New Roman" w:cstheme="minorHAnsi"/>
                <w:b/>
                <w:i/>
                <w:sz w:val="18"/>
                <w:szCs w:val="18"/>
              </w:rPr>
            </w:pPr>
            <w:r w:rsidRPr="00D701AE">
              <w:rPr>
                <w:rFonts w:eastAsia="Times New Roman" w:cstheme="minorHAnsi"/>
                <w:b/>
                <w:i/>
                <w:sz w:val="18"/>
                <w:szCs w:val="18"/>
              </w:rPr>
              <w:t>Please specify the underlying data collection infrastructure</w:t>
            </w:r>
            <w:r w:rsidR="006B3308" w:rsidRPr="00D701AE">
              <w:rPr>
                <w:rFonts w:eastAsia="Times New Roman" w:cstheme="minorHAnsi"/>
                <w:b/>
                <w:i/>
                <w:sz w:val="18"/>
                <w:szCs w:val="18"/>
              </w:rPr>
              <w:t xml:space="preserve"> or institution</w:t>
            </w:r>
            <w:r w:rsidR="0019187A" w:rsidRPr="00D701AE">
              <w:rPr>
                <w:rFonts w:eastAsia="Times New Roman" w:cstheme="minorHAnsi"/>
                <w:b/>
                <w:i/>
                <w:sz w:val="18"/>
                <w:szCs w:val="18"/>
              </w:rPr>
              <w:t>(s)</w:t>
            </w:r>
            <w:r w:rsidR="006B3308" w:rsidRPr="00D701AE">
              <w:rPr>
                <w:rFonts w:eastAsia="Times New Roman" w:cstheme="minorHAnsi"/>
                <w:b/>
                <w:i/>
                <w:sz w:val="18"/>
                <w:szCs w:val="18"/>
              </w:rPr>
              <w:t xml:space="preserve"> responsible for </w:t>
            </w:r>
            <w:r w:rsidR="00AE5AD9" w:rsidRPr="00D701AE">
              <w:rPr>
                <w:rFonts w:eastAsia="Times New Roman" w:cstheme="minorHAnsi"/>
                <w:b/>
                <w:i/>
                <w:sz w:val="18"/>
                <w:szCs w:val="18"/>
              </w:rPr>
              <w:t>collecting</w:t>
            </w:r>
            <w:r w:rsidR="006B3308" w:rsidRPr="00D701AE">
              <w:rPr>
                <w:rFonts w:eastAsia="Times New Roman" w:cstheme="minorHAnsi"/>
                <w:b/>
                <w:i/>
                <w:sz w:val="18"/>
                <w:szCs w:val="18"/>
              </w:rPr>
              <w:t xml:space="preserve"> inputs that are used to calculate this indicator</w:t>
            </w:r>
            <w:r w:rsidR="00800D16" w:rsidRPr="00D701AE">
              <w:rPr>
                <w:rFonts w:eastAsia="Times New Roman" w:cstheme="minorHAnsi"/>
                <w:b/>
                <w:i/>
                <w:sz w:val="18"/>
                <w:szCs w:val="18"/>
              </w:rPr>
              <w:t>.</w:t>
            </w:r>
          </w:p>
          <w:p w14:paraId="0A9B9A07" w14:textId="77777777" w:rsidR="007E73A6" w:rsidRPr="00D701AE" w:rsidRDefault="007E73A6" w:rsidP="00142E13">
            <w:pPr>
              <w:spacing w:after="0" w:line="240" w:lineRule="auto"/>
              <w:ind w:right="75"/>
              <w:textAlignment w:val="baseline"/>
              <w:rPr>
                <w:rFonts w:eastAsia="Times New Roman" w:cstheme="minorHAnsi"/>
                <w:b/>
                <w:i/>
                <w:sz w:val="18"/>
                <w:szCs w:val="18"/>
              </w:rPr>
            </w:pPr>
          </w:p>
          <w:p w14:paraId="6FAD5187" w14:textId="678F0DB4" w:rsidR="0080421A" w:rsidRPr="00240ED2" w:rsidRDefault="0080421A" w:rsidP="0080421A">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This GHG emissions indicator is based on four data sources: (1) the global non-LULUCF emissions dataset underlying the EDGAR Report (Crippa, 2023), (2) a global level LULUCF emissions dataset included in the EDGAR Report (Crippa, 2023)</w:t>
            </w:r>
            <w:r w:rsidR="001339A9" w:rsidRPr="00240ED2">
              <w:rPr>
                <w:rFonts w:ascii="Times New Roman" w:eastAsia="Times New Roman" w:hAnsi="Times New Roman" w:cs="Times New Roman"/>
                <w:sz w:val="18"/>
                <w:szCs w:val="18"/>
              </w:rPr>
              <w:t>, based on a hybrid inventory approach</w:t>
            </w:r>
            <w:r w:rsidRPr="00240ED2">
              <w:rPr>
                <w:rFonts w:ascii="Times New Roman" w:eastAsia="Times New Roman" w:hAnsi="Times New Roman" w:cs="Times New Roman"/>
                <w:sz w:val="18"/>
                <w:szCs w:val="18"/>
              </w:rPr>
              <w:t xml:space="preserve">, (3) the country-level non-LULUCF emissions disaggregated by subsector and GHG in </w:t>
            </w:r>
            <w:r w:rsidRPr="00D535BF">
              <w:rPr>
                <w:rFonts w:ascii="Times New Roman" w:eastAsia="Times New Roman" w:hAnsi="Times New Roman" w:cs="Times New Roman"/>
                <w:sz w:val="18"/>
                <w:szCs w:val="18"/>
              </w:rPr>
              <w:t>the EDGAR</w:t>
            </w:r>
            <w:r w:rsidR="00F40217" w:rsidRPr="00D535BF">
              <w:rPr>
                <w:rFonts w:ascii="Times New Roman" w:eastAsia="Times New Roman" w:hAnsi="Times New Roman" w:cs="Times New Roman"/>
                <w:sz w:val="18"/>
                <w:szCs w:val="18"/>
              </w:rPr>
              <w:t>_2024_GHG</w:t>
            </w:r>
            <w:r w:rsidRPr="00D535BF">
              <w:rPr>
                <w:rFonts w:ascii="Times New Roman" w:eastAsia="Times New Roman" w:hAnsi="Times New Roman" w:cs="Times New Roman"/>
                <w:sz w:val="18"/>
                <w:szCs w:val="18"/>
              </w:rPr>
              <w:t xml:space="preserve"> dataset, and (4) country-level disaggregated LULUCF emissions estimates from</w:t>
            </w:r>
            <w:r w:rsidR="00F40217" w:rsidRPr="00D535BF">
              <w:rPr>
                <w:rFonts w:ascii="Times New Roman" w:eastAsia="Times New Roman" w:hAnsi="Times New Roman" w:cs="Times New Roman"/>
                <w:sz w:val="18"/>
                <w:szCs w:val="18"/>
              </w:rPr>
              <w:t xml:space="preserve"> EU Forest Observatory</w:t>
            </w:r>
            <w:r w:rsidRPr="00D535BF">
              <w:rPr>
                <w:rFonts w:ascii="Times New Roman" w:eastAsia="Times New Roman" w:hAnsi="Times New Roman" w:cs="Times New Roman"/>
                <w:sz w:val="18"/>
                <w:szCs w:val="18"/>
              </w:rPr>
              <w:t>.</w:t>
            </w:r>
            <w:r w:rsidRPr="00240ED2">
              <w:rPr>
                <w:rFonts w:ascii="Times New Roman" w:eastAsia="Times New Roman" w:hAnsi="Times New Roman" w:cs="Times New Roman"/>
                <w:sz w:val="18"/>
                <w:szCs w:val="18"/>
              </w:rPr>
              <w:t xml:space="preserve"> </w:t>
            </w:r>
          </w:p>
          <w:p w14:paraId="3B479A4F" w14:textId="77777777" w:rsidR="0080421A" w:rsidRPr="00240ED2" w:rsidRDefault="0080421A" w:rsidP="00F00C41">
            <w:pPr>
              <w:spacing w:after="0" w:line="240" w:lineRule="auto"/>
              <w:ind w:right="75"/>
              <w:textAlignment w:val="baseline"/>
              <w:rPr>
                <w:rFonts w:ascii="Times New Roman" w:eastAsia="Times New Roman" w:hAnsi="Times New Roman" w:cs="Times New Roman"/>
                <w:sz w:val="18"/>
                <w:szCs w:val="18"/>
              </w:rPr>
            </w:pPr>
          </w:p>
          <w:p w14:paraId="5EDADB22" w14:textId="1C88613F" w:rsidR="00082D44" w:rsidRPr="00240ED2" w:rsidRDefault="00601CB9" w:rsidP="00601CB9">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For the global level data (1 and 2), t</w:t>
            </w:r>
            <w:r w:rsidR="00F00C41" w:rsidRPr="00240ED2">
              <w:rPr>
                <w:rFonts w:ascii="Times New Roman" w:eastAsia="Times New Roman" w:hAnsi="Times New Roman" w:cs="Times New Roman"/>
                <w:sz w:val="18"/>
                <w:szCs w:val="18"/>
              </w:rPr>
              <w:t>his indicator is based directly on the Joint Research Center’s Emissions Database for Global Atmospheric Research (EDGAR)</w:t>
            </w:r>
            <w:r w:rsidR="003F3B61" w:rsidRPr="00240ED2">
              <w:rPr>
                <w:rFonts w:ascii="Times New Roman" w:eastAsia="Times New Roman" w:hAnsi="Times New Roman" w:cs="Times New Roman"/>
                <w:sz w:val="18"/>
                <w:szCs w:val="18"/>
              </w:rPr>
              <w:t xml:space="preserve">, augmented by </w:t>
            </w:r>
            <w:r w:rsidR="00433B5D" w:rsidRPr="00240ED2">
              <w:rPr>
                <w:rFonts w:ascii="Times New Roman" w:eastAsia="Times New Roman" w:hAnsi="Times New Roman" w:cs="Times New Roman"/>
                <w:sz w:val="18"/>
                <w:szCs w:val="18"/>
              </w:rPr>
              <w:t>preliminary estimates for</w:t>
            </w:r>
            <w:r w:rsidR="002601C8" w:rsidRPr="00240ED2">
              <w:rPr>
                <w:rFonts w:ascii="Times New Roman" w:eastAsia="Times New Roman" w:hAnsi="Times New Roman" w:cs="Times New Roman"/>
                <w:sz w:val="18"/>
                <w:szCs w:val="18"/>
              </w:rPr>
              <w:t xml:space="preserve"> the</w:t>
            </w:r>
            <w:r w:rsidR="00433B5D" w:rsidRPr="00240ED2">
              <w:rPr>
                <w:rFonts w:ascii="Times New Roman" w:eastAsia="Times New Roman" w:hAnsi="Times New Roman" w:cs="Times New Roman"/>
                <w:sz w:val="18"/>
                <w:szCs w:val="18"/>
              </w:rPr>
              <w:t xml:space="preserve"> </w:t>
            </w:r>
            <w:r w:rsidR="002601C8" w:rsidRPr="00240ED2">
              <w:rPr>
                <w:rFonts w:ascii="Times New Roman" w:eastAsia="Times New Roman" w:hAnsi="Times New Roman" w:cs="Times New Roman"/>
                <w:sz w:val="18"/>
                <w:szCs w:val="18"/>
              </w:rPr>
              <w:t>land use, land use change and forestry (</w:t>
            </w:r>
            <w:r w:rsidR="00433B5D" w:rsidRPr="00240ED2">
              <w:rPr>
                <w:rFonts w:ascii="Times New Roman" w:eastAsia="Times New Roman" w:hAnsi="Times New Roman" w:cs="Times New Roman"/>
                <w:sz w:val="18"/>
                <w:szCs w:val="18"/>
              </w:rPr>
              <w:t>LULUCF</w:t>
            </w:r>
            <w:r w:rsidR="002601C8" w:rsidRPr="00240ED2">
              <w:rPr>
                <w:rFonts w:ascii="Times New Roman" w:eastAsia="Times New Roman" w:hAnsi="Times New Roman" w:cs="Times New Roman"/>
                <w:sz w:val="18"/>
                <w:szCs w:val="18"/>
              </w:rPr>
              <w:t>)</w:t>
            </w:r>
            <w:r w:rsidR="00433B5D" w:rsidRPr="00240ED2">
              <w:rPr>
                <w:rFonts w:ascii="Times New Roman" w:eastAsia="Times New Roman" w:hAnsi="Times New Roman" w:cs="Times New Roman"/>
                <w:sz w:val="18"/>
                <w:szCs w:val="18"/>
              </w:rPr>
              <w:t xml:space="preserve"> </w:t>
            </w:r>
            <w:r w:rsidR="00B82BD0" w:rsidRPr="00240ED2">
              <w:rPr>
                <w:rFonts w:ascii="Times New Roman" w:eastAsia="Times New Roman" w:hAnsi="Times New Roman" w:cs="Times New Roman"/>
                <w:sz w:val="18"/>
                <w:szCs w:val="18"/>
              </w:rPr>
              <w:t xml:space="preserve">using a </w:t>
            </w:r>
            <w:r w:rsidR="008A5CBA" w:rsidRPr="00240ED2">
              <w:rPr>
                <w:rFonts w:ascii="Times New Roman" w:eastAsia="Times New Roman" w:hAnsi="Times New Roman" w:cs="Times New Roman"/>
                <w:sz w:val="18"/>
                <w:szCs w:val="18"/>
              </w:rPr>
              <w:t>hybrid-inventory</w:t>
            </w:r>
            <w:r w:rsidR="00B82BD0" w:rsidRPr="00240ED2">
              <w:rPr>
                <w:rFonts w:ascii="Times New Roman" w:eastAsia="Times New Roman" w:hAnsi="Times New Roman" w:cs="Times New Roman"/>
                <w:sz w:val="18"/>
                <w:szCs w:val="18"/>
              </w:rPr>
              <w:t xml:space="preserve"> approach </w:t>
            </w:r>
            <w:r w:rsidR="00433B5D" w:rsidRPr="00240ED2">
              <w:rPr>
                <w:rFonts w:ascii="Times New Roman" w:eastAsia="Times New Roman" w:hAnsi="Times New Roman" w:cs="Times New Roman"/>
                <w:sz w:val="18"/>
                <w:szCs w:val="18"/>
              </w:rPr>
              <w:t xml:space="preserve">that </w:t>
            </w:r>
            <w:r w:rsidR="00780F61" w:rsidRPr="00240ED2">
              <w:rPr>
                <w:rFonts w:ascii="Times New Roman" w:eastAsia="Times New Roman" w:hAnsi="Times New Roman" w:cs="Times New Roman"/>
                <w:sz w:val="18"/>
                <w:szCs w:val="18"/>
              </w:rPr>
              <w:t>was</w:t>
            </w:r>
            <w:r w:rsidR="00E2418B" w:rsidRPr="00240ED2">
              <w:rPr>
                <w:rFonts w:ascii="Times New Roman" w:eastAsia="Times New Roman" w:hAnsi="Times New Roman" w:cs="Times New Roman"/>
                <w:sz w:val="18"/>
                <w:szCs w:val="18"/>
              </w:rPr>
              <w:t xml:space="preserve"> developed for </w:t>
            </w:r>
            <w:r w:rsidR="00322BB4" w:rsidRPr="00240ED2">
              <w:rPr>
                <w:rFonts w:ascii="Times New Roman" w:eastAsia="Times New Roman" w:hAnsi="Times New Roman" w:cs="Times New Roman"/>
                <w:sz w:val="18"/>
                <w:szCs w:val="18"/>
              </w:rPr>
              <w:t xml:space="preserve">the Research Center’s </w:t>
            </w:r>
            <w:r w:rsidR="00E2418B" w:rsidRPr="00240ED2">
              <w:rPr>
                <w:rFonts w:ascii="Times New Roman" w:eastAsia="Times New Roman" w:hAnsi="Times New Roman" w:cs="Times New Roman"/>
                <w:sz w:val="18"/>
                <w:szCs w:val="18"/>
              </w:rPr>
              <w:t>annual report</w:t>
            </w:r>
            <w:r w:rsidR="00B51D0B" w:rsidRPr="00240ED2">
              <w:rPr>
                <w:rFonts w:ascii="Times New Roman" w:eastAsia="Times New Roman" w:hAnsi="Times New Roman" w:cs="Times New Roman"/>
                <w:sz w:val="18"/>
                <w:szCs w:val="18"/>
              </w:rPr>
              <w:t xml:space="preserve">, </w:t>
            </w:r>
            <w:r w:rsidR="00B51D0B" w:rsidRPr="00240ED2">
              <w:rPr>
                <w:rFonts w:ascii="Times New Roman" w:eastAsia="Times New Roman" w:hAnsi="Times New Roman" w:cs="Times New Roman"/>
                <w:i/>
                <w:sz w:val="18"/>
                <w:szCs w:val="18"/>
              </w:rPr>
              <w:t>G</w:t>
            </w:r>
            <w:r w:rsidR="00E30FF4" w:rsidRPr="00240ED2">
              <w:rPr>
                <w:rFonts w:ascii="Times New Roman" w:eastAsia="Times New Roman" w:hAnsi="Times New Roman" w:cs="Times New Roman"/>
                <w:i/>
                <w:sz w:val="18"/>
                <w:szCs w:val="18"/>
              </w:rPr>
              <w:t xml:space="preserve">HG Emissions of all World Countries, </w:t>
            </w:r>
            <w:r w:rsidR="00E30FF4" w:rsidRPr="00D535BF">
              <w:rPr>
                <w:rFonts w:ascii="Times New Roman" w:eastAsia="Times New Roman" w:hAnsi="Times New Roman" w:cs="Times New Roman"/>
                <w:i/>
                <w:sz w:val="18"/>
                <w:szCs w:val="18"/>
              </w:rPr>
              <w:t>202</w:t>
            </w:r>
            <w:r w:rsidR="006B37C8" w:rsidRPr="00D535BF">
              <w:rPr>
                <w:rFonts w:ascii="Times New Roman" w:eastAsia="Times New Roman" w:hAnsi="Times New Roman" w:cs="Times New Roman"/>
                <w:i/>
                <w:sz w:val="18"/>
                <w:szCs w:val="18"/>
              </w:rPr>
              <w:t>4</w:t>
            </w:r>
            <w:r w:rsidR="00CC4280" w:rsidRPr="00D535BF">
              <w:rPr>
                <w:rFonts w:ascii="Times New Roman" w:eastAsia="Times New Roman" w:hAnsi="Times New Roman" w:cs="Times New Roman"/>
                <w:sz w:val="18"/>
                <w:szCs w:val="18"/>
              </w:rPr>
              <w:t>,</w:t>
            </w:r>
            <w:r w:rsidR="00CC4280" w:rsidRPr="00240ED2">
              <w:rPr>
                <w:rFonts w:ascii="Times New Roman" w:eastAsia="Times New Roman" w:hAnsi="Times New Roman" w:cs="Times New Roman"/>
                <w:sz w:val="18"/>
                <w:szCs w:val="18"/>
              </w:rPr>
              <w:t xml:space="preserve"> hereafter the </w:t>
            </w:r>
            <w:r w:rsidR="00F00C41" w:rsidRPr="00240ED2">
              <w:rPr>
                <w:rFonts w:ascii="Times New Roman" w:eastAsia="Times New Roman" w:hAnsi="Times New Roman" w:cs="Times New Roman"/>
                <w:i/>
                <w:sz w:val="18"/>
                <w:szCs w:val="18"/>
              </w:rPr>
              <w:t xml:space="preserve">EDGAR </w:t>
            </w:r>
            <w:r w:rsidR="00CC4280" w:rsidRPr="00240ED2">
              <w:rPr>
                <w:rFonts w:ascii="Times New Roman" w:eastAsia="Times New Roman" w:hAnsi="Times New Roman" w:cs="Times New Roman"/>
                <w:i/>
                <w:sz w:val="18"/>
                <w:szCs w:val="18"/>
              </w:rPr>
              <w:t>Report data</w:t>
            </w:r>
            <w:r w:rsidR="00E81AB1" w:rsidRPr="00240ED2">
              <w:rPr>
                <w:rFonts w:ascii="Times New Roman" w:eastAsia="Times New Roman" w:hAnsi="Times New Roman" w:cs="Times New Roman"/>
                <w:i/>
                <w:sz w:val="18"/>
                <w:szCs w:val="18"/>
              </w:rPr>
              <w:t>set</w:t>
            </w:r>
            <w:r w:rsidR="00E81AB1" w:rsidRPr="00240ED2">
              <w:rPr>
                <w:rFonts w:ascii="Times New Roman" w:eastAsia="Times New Roman" w:hAnsi="Times New Roman" w:cs="Times New Roman"/>
                <w:sz w:val="18"/>
                <w:szCs w:val="18"/>
              </w:rPr>
              <w:t>.</w:t>
            </w:r>
            <w:r w:rsidR="002314D1" w:rsidRPr="00240ED2">
              <w:rPr>
                <w:rStyle w:val="FootnoteReference"/>
                <w:rFonts w:ascii="Times New Roman" w:eastAsia="Times New Roman" w:hAnsi="Times New Roman" w:cs="Times New Roman"/>
                <w:sz w:val="18"/>
                <w:szCs w:val="18"/>
              </w:rPr>
              <w:footnoteReference w:id="2"/>
            </w:r>
            <w:r w:rsidR="00F00C41" w:rsidRPr="00240ED2">
              <w:rPr>
                <w:rFonts w:ascii="Times New Roman" w:eastAsia="Times New Roman" w:hAnsi="Times New Roman" w:cs="Times New Roman"/>
                <w:sz w:val="18"/>
                <w:szCs w:val="18"/>
              </w:rPr>
              <w:t xml:space="preserve"> </w:t>
            </w:r>
            <w:r w:rsidR="00B1606F" w:rsidRPr="00240ED2">
              <w:rPr>
                <w:rFonts w:ascii="Times New Roman" w:eastAsia="Times New Roman" w:hAnsi="Times New Roman" w:cs="Times New Roman"/>
                <w:sz w:val="18"/>
                <w:szCs w:val="18"/>
              </w:rPr>
              <w:t xml:space="preserve">The source data are disaggregated by 13 subsectors and 4 GHG </w:t>
            </w:r>
            <w:r w:rsidR="00AB3817" w:rsidRPr="00240ED2">
              <w:rPr>
                <w:rFonts w:ascii="Times New Roman" w:eastAsia="Times New Roman" w:hAnsi="Times New Roman" w:cs="Times New Roman"/>
                <w:sz w:val="18"/>
                <w:szCs w:val="18"/>
              </w:rPr>
              <w:t>categories.</w:t>
            </w:r>
            <w:r w:rsidR="00AB3817" w:rsidRPr="00240ED2">
              <w:rPr>
                <w:rStyle w:val="FootnoteReference"/>
                <w:rFonts w:ascii="Times New Roman" w:eastAsia="Times New Roman" w:hAnsi="Times New Roman" w:cs="Times New Roman"/>
                <w:sz w:val="18"/>
                <w:szCs w:val="18"/>
              </w:rPr>
              <w:footnoteReference w:id="3"/>
            </w:r>
          </w:p>
          <w:p w14:paraId="00B02038" w14:textId="77777777" w:rsidR="00082D44" w:rsidRPr="00240ED2" w:rsidRDefault="00082D44" w:rsidP="00F00C41">
            <w:pPr>
              <w:spacing w:after="0" w:line="240" w:lineRule="auto"/>
              <w:ind w:right="75"/>
              <w:textAlignment w:val="baseline"/>
              <w:rPr>
                <w:rFonts w:ascii="Times New Roman" w:eastAsia="Times New Roman" w:hAnsi="Times New Roman" w:cs="Times New Roman"/>
                <w:sz w:val="18"/>
                <w:szCs w:val="18"/>
              </w:rPr>
            </w:pPr>
          </w:p>
          <w:p w14:paraId="5F057C19" w14:textId="29928B08" w:rsidR="00784E5E" w:rsidRPr="00240ED2" w:rsidRDefault="00F77577" w:rsidP="00F120DF">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Non-LULUCF</w:t>
            </w:r>
            <w:r w:rsidR="0035653B" w:rsidRPr="00240ED2">
              <w:rPr>
                <w:rFonts w:ascii="Times New Roman" w:eastAsia="Times New Roman" w:hAnsi="Times New Roman" w:cs="Times New Roman"/>
                <w:sz w:val="18"/>
                <w:szCs w:val="18"/>
              </w:rPr>
              <w:t xml:space="preserve"> </w:t>
            </w:r>
            <w:r w:rsidR="00C91841" w:rsidRPr="00240ED2">
              <w:rPr>
                <w:rFonts w:ascii="Times New Roman" w:eastAsia="Times New Roman" w:hAnsi="Times New Roman" w:cs="Times New Roman"/>
                <w:sz w:val="18"/>
                <w:szCs w:val="18"/>
              </w:rPr>
              <w:t>GHG emissions estimates in the</w:t>
            </w:r>
            <w:r w:rsidR="00E81AB1" w:rsidRPr="00240ED2">
              <w:rPr>
                <w:rFonts w:ascii="Times New Roman" w:eastAsia="Times New Roman" w:hAnsi="Times New Roman" w:cs="Times New Roman"/>
                <w:sz w:val="18"/>
                <w:szCs w:val="18"/>
              </w:rPr>
              <w:t xml:space="preserve"> </w:t>
            </w:r>
            <w:r w:rsidR="00F00C41" w:rsidRPr="00240ED2">
              <w:rPr>
                <w:rFonts w:ascii="Times New Roman" w:eastAsia="Times New Roman" w:hAnsi="Times New Roman" w:cs="Times New Roman"/>
                <w:sz w:val="18"/>
                <w:szCs w:val="18"/>
              </w:rPr>
              <w:t xml:space="preserve">EDGAR </w:t>
            </w:r>
            <w:r w:rsidR="00E81AB1" w:rsidRPr="00240ED2">
              <w:rPr>
                <w:rFonts w:ascii="Times New Roman" w:eastAsia="Times New Roman" w:hAnsi="Times New Roman" w:cs="Times New Roman"/>
                <w:sz w:val="18"/>
                <w:szCs w:val="18"/>
              </w:rPr>
              <w:t xml:space="preserve">Report </w:t>
            </w:r>
            <w:r w:rsidR="001934EA" w:rsidRPr="00240ED2">
              <w:rPr>
                <w:rFonts w:ascii="Times New Roman" w:eastAsia="Times New Roman" w:hAnsi="Times New Roman" w:cs="Times New Roman"/>
                <w:sz w:val="18"/>
                <w:szCs w:val="18"/>
              </w:rPr>
              <w:t>d</w:t>
            </w:r>
            <w:r w:rsidR="00E81AB1" w:rsidRPr="00240ED2">
              <w:rPr>
                <w:rFonts w:ascii="Times New Roman" w:eastAsia="Times New Roman" w:hAnsi="Times New Roman" w:cs="Times New Roman"/>
                <w:sz w:val="18"/>
                <w:szCs w:val="18"/>
              </w:rPr>
              <w:t xml:space="preserve">ataset </w:t>
            </w:r>
            <w:r w:rsidR="00B1218F" w:rsidRPr="00240ED2">
              <w:rPr>
                <w:rFonts w:ascii="Times New Roman" w:eastAsia="Times New Roman" w:hAnsi="Times New Roman" w:cs="Times New Roman"/>
                <w:sz w:val="18"/>
                <w:szCs w:val="18"/>
              </w:rPr>
              <w:t>are</w:t>
            </w:r>
            <w:r w:rsidR="00C91841" w:rsidRPr="00240ED2">
              <w:rPr>
                <w:rFonts w:ascii="Times New Roman" w:eastAsia="Times New Roman" w:hAnsi="Times New Roman" w:cs="Times New Roman"/>
                <w:sz w:val="18"/>
                <w:szCs w:val="18"/>
              </w:rPr>
              <w:t xml:space="preserve"> </w:t>
            </w:r>
            <w:r w:rsidR="00F00C41" w:rsidRPr="00240ED2">
              <w:rPr>
                <w:rFonts w:ascii="Times New Roman" w:eastAsia="Times New Roman" w:hAnsi="Times New Roman" w:cs="Times New Roman"/>
                <w:sz w:val="18"/>
                <w:szCs w:val="18"/>
              </w:rPr>
              <w:t xml:space="preserve">based on international statistics from the </w:t>
            </w:r>
            <w:r w:rsidR="00BB479D" w:rsidRPr="00240ED2">
              <w:rPr>
                <w:rFonts w:ascii="Times New Roman" w:eastAsia="Times New Roman" w:hAnsi="Times New Roman" w:cs="Times New Roman"/>
                <w:sz w:val="18"/>
                <w:szCs w:val="18"/>
              </w:rPr>
              <w:t>International Energy Agency (</w:t>
            </w:r>
            <w:r w:rsidR="00F00C41" w:rsidRPr="00240ED2">
              <w:rPr>
                <w:rFonts w:ascii="Times New Roman" w:eastAsia="Times New Roman" w:hAnsi="Times New Roman" w:cs="Times New Roman"/>
                <w:sz w:val="18"/>
                <w:szCs w:val="18"/>
              </w:rPr>
              <w:t>IEA</w:t>
            </w:r>
            <w:r w:rsidR="00BB479D" w:rsidRPr="00240ED2">
              <w:rPr>
                <w:rFonts w:ascii="Times New Roman" w:eastAsia="Times New Roman" w:hAnsi="Times New Roman" w:cs="Times New Roman"/>
                <w:sz w:val="18"/>
                <w:szCs w:val="18"/>
              </w:rPr>
              <w:t>)</w:t>
            </w:r>
            <w:r w:rsidR="00F00C41" w:rsidRPr="00240ED2">
              <w:rPr>
                <w:rFonts w:ascii="Times New Roman" w:eastAsia="Times New Roman" w:hAnsi="Times New Roman" w:cs="Times New Roman"/>
                <w:sz w:val="18"/>
                <w:szCs w:val="18"/>
              </w:rPr>
              <w:t xml:space="preserve">, </w:t>
            </w:r>
            <w:r w:rsidR="00C47A62" w:rsidRPr="00240ED2">
              <w:rPr>
                <w:rFonts w:ascii="Times New Roman" w:eastAsia="Times New Roman" w:hAnsi="Times New Roman" w:cs="Times New Roman"/>
                <w:sz w:val="18"/>
                <w:szCs w:val="18"/>
              </w:rPr>
              <w:t>Food and Agriculture Organization (</w:t>
            </w:r>
            <w:r w:rsidR="00F00C41" w:rsidRPr="00240ED2">
              <w:rPr>
                <w:rFonts w:ascii="Times New Roman" w:eastAsia="Times New Roman" w:hAnsi="Times New Roman" w:cs="Times New Roman"/>
                <w:sz w:val="18"/>
                <w:szCs w:val="18"/>
              </w:rPr>
              <w:t>FAO</w:t>
            </w:r>
            <w:r w:rsidR="00C47A62" w:rsidRPr="00240ED2">
              <w:rPr>
                <w:rFonts w:ascii="Times New Roman" w:eastAsia="Times New Roman" w:hAnsi="Times New Roman" w:cs="Times New Roman"/>
                <w:sz w:val="18"/>
                <w:szCs w:val="18"/>
              </w:rPr>
              <w:t>)</w:t>
            </w:r>
            <w:r w:rsidR="00F00C41" w:rsidRPr="00240ED2">
              <w:rPr>
                <w:rFonts w:ascii="Times New Roman" w:eastAsia="Times New Roman" w:hAnsi="Times New Roman" w:cs="Times New Roman"/>
                <w:sz w:val="18"/>
                <w:szCs w:val="18"/>
              </w:rPr>
              <w:t xml:space="preserve">, </w:t>
            </w:r>
            <w:r w:rsidR="00E843EE" w:rsidRPr="00240ED2">
              <w:rPr>
                <w:rFonts w:ascii="Times New Roman" w:eastAsia="Times New Roman" w:hAnsi="Times New Roman" w:cs="Times New Roman"/>
                <w:sz w:val="18"/>
                <w:szCs w:val="18"/>
              </w:rPr>
              <w:t xml:space="preserve">United States Geological Survey </w:t>
            </w:r>
            <w:r w:rsidR="00BB479D" w:rsidRPr="00240ED2">
              <w:rPr>
                <w:rFonts w:ascii="Times New Roman" w:eastAsia="Times New Roman" w:hAnsi="Times New Roman" w:cs="Times New Roman"/>
                <w:sz w:val="18"/>
                <w:szCs w:val="18"/>
              </w:rPr>
              <w:t>(</w:t>
            </w:r>
            <w:r w:rsidR="00F00C41" w:rsidRPr="00240ED2">
              <w:rPr>
                <w:rFonts w:ascii="Times New Roman" w:eastAsia="Times New Roman" w:hAnsi="Times New Roman" w:cs="Times New Roman"/>
                <w:sz w:val="18"/>
                <w:szCs w:val="18"/>
              </w:rPr>
              <w:t>USGS</w:t>
            </w:r>
            <w:r w:rsidR="00BB479D" w:rsidRPr="00240ED2">
              <w:rPr>
                <w:rFonts w:ascii="Times New Roman" w:eastAsia="Times New Roman" w:hAnsi="Times New Roman" w:cs="Times New Roman"/>
                <w:sz w:val="18"/>
                <w:szCs w:val="18"/>
              </w:rPr>
              <w:t>)</w:t>
            </w:r>
            <w:r w:rsidR="00F00C41" w:rsidRPr="00240ED2">
              <w:rPr>
                <w:rFonts w:ascii="Times New Roman" w:eastAsia="Times New Roman" w:hAnsi="Times New Roman" w:cs="Times New Roman"/>
                <w:sz w:val="18"/>
                <w:szCs w:val="18"/>
              </w:rPr>
              <w:t xml:space="preserve"> and other reputable sources, which are harmonized via a consistent Intergovernmental Panel on Climate Change (IPCC) methodology. This harmonization permits an unbiased cross-country and sector-by-sector comparison, as countries’ own self-reported data may use different methodologies and exclude different types of data</w:t>
            </w:r>
            <w:r w:rsidR="00C3171D">
              <w:rPr>
                <w:rStyle w:val="FootnoteReference"/>
                <w:rFonts w:ascii="Times New Roman" w:eastAsia="Times New Roman" w:hAnsi="Times New Roman" w:cs="Times New Roman"/>
                <w:sz w:val="18"/>
                <w:szCs w:val="18"/>
              </w:rPr>
              <w:footnoteReference w:id="4"/>
            </w:r>
            <w:r w:rsidR="00F00C41" w:rsidRPr="00240ED2">
              <w:rPr>
                <w:rFonts w:ascii="Times New Roman" w:eastAsia="Times New Roman" w:hAnsi="Times New Roman" w:cs="Times New Roman"/>
                <w:sz w:val="18"/>
                <w:szCs w:val="18"/>
              </w:rPr>
              <w:t>.</w:t>
            </w:r>
          </w:p>
          <w:p w14:paraId="1356DB43" w14:textId="77777777" w:rsidR="00784E5E" w:rsidRPr="00240ED2" w:rsidRDefault="00784E5E" w:rsidP="00784E5E">
            <w:pPr>
              <w:pStyle w:val="ListParagraph"/>
              <w:spacing w:after="0" w:line="240" w:lineRule="auto"/>
              <w:ind w:right="75"/>
              <w:textAlignment w:val="baseline"/>
              <w:rPr>
                <w:rFonts w:ascii="Times New Roman" w:eastAsia="Times New Roman" w:hAnsi="Times New Roman" w:cs="Times New Roman"/>
                <w:sz w:val="18"/>
                <w:szCs w:val="18"/>
              </w:rPr>
            </w:pPr>
          </w:p>
          <w:p w14:paraId="1ED4F43C" w14:textId="7076A9A4" w:rsidR="00784E5E" w:rsidRPr="00240ED2" w:rsidRDefault="00784E5E" w:rsidP="00F120DF">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To provide the most recent estimates for combustion and industrial processes, EDGAR uses a “Fast-Track” approach to extrapolate emissions to the most recent year. As such, the most recent GHG estimates are usually subject to adjustment, but year-to-year variations have historically been only to within +/- 2 percent. The Fast-Track approach, explained in detail in Crippa et al. (2023), uses emissions data by fuel type from Energy Institute to extrapolate GHG estimates, assuming the same sectoral composition from two years’ prior observed in the last year of IEA’s energy balance statistics. For agriculture emissions, USGS data are used to extend the FAOSTAT statistics. For sectors with lower contributions to GHG, extrapolation is based on relative trends of proxy data. </w:t>
            </w:r>
          </w:p>
          <w:p w14:paraId="373246DA" w14:textId="77777777" w:rsidR="00784E5E" w:rsidRPr="00240ED2" w:rsidRDefault="00784E5E" w:rsidP="00784E5E">
            <w:pPr>
              <w:pStyle w:val="ListParagraph"/>
              <w:spacing w:after="0" w:line="240" w:lineRule="auto"/>
              <w:ind w:right="75"/>
              <w:textAlignment w:val="baseline"/>
              <w:rPr>
                <w:rFonts w:ascii="Times New Roman" w:eastAsia="Times New Roman" w:hAnsi="Times New Roman" w:cs="Times New Roman"/>
                <w:sz w:val="18"/>
                <w:szCs w:val="18"/>
              </w:rPr>
            </w:pPr>
          </w:p>
          <w:p w14:paraId="780F26CD" w14:textId="51E1AAB6" w:rsidR="00452D22" w:rsidRPr="00240ED2" w:rsidRDefault="00452D22" w:rsidP="00F120DF">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For LULUCF </w:t>
            </w:r>
            <w:r w:rsidR="008934E2" w:rsidRPr="00240ED2">
              <w:rPr>
                <w:rFonts w:ascii="Times New Roman" w:eastAsia="Times New Roman" w:hAnsi="Times New Roman" w:cs="Times New Roman"/>
                <w:sz w:val="18"/>
                <w:szCs w:val="18"/>
              </w:rPr>
              <w:t>emissions</w:t>
            </w:r>
            <w:r w:rsidRPr="00240ED2">
              <w:rPr>
                <w:rFonts w:ascii="Times New Roman" w:eastAsia="Times New Roman" w:hAnsi="Times New Roman" w:cs="Times New Roman"/>
                <w:sz w:val="18"/>
                <w:szCs w:val="18"/>
              </w:rPr>
              <w:t xml:space="preserve">, </w:t>
            </w:r>
            <w:r w:rsidR="008934E2" w:rsidRPr="00240ED2">
              <w:rPr>
                <w:rFonts w:ascii="Times New Roman" w:eastAsia="Times New Roman" w:hAnsi="Times New Roman" w:cs="Times New Roman"/>
                <w:sz w:val="18"/>
                <w:szCs w:val="18"/>
              </w:rPr>
              <w:t xml:space="preserve">the </w:t>
            </w:r>
            <w:r w:rsidRPr="00240ED2">
              <w:rPr>
                <w:rFonts w:ascii="Times New Roman" w:eastAsia="Times New Roman" w:hAnsi="Times New Roman" w:cs="Times New Roman"/>
                <w:sz w:val="18"/>
                <w:szCs w:val="18"/>
              </w:rPr>
              <w:t xml:space="preserve">EDGAR </w:t>
            </w:r>
            <w:r w:rsidR="008934E2" w:rsidRPr="00240ED2">
              <w:rPr>
                <w:rFonts w:ascii="Times New Roman" w:eastAsia="Times New Roman" w:hAnsi="Times New Roman" w:cs="Times New Roman"/>
                <w:sz w:val="18"/>
                <w:szCs w:val="18"/>
              </w:rPr>
              <w:t xml:space="preserve">Report dataset uses a </w:t>
            </w:r>
            <w:r w:rsidRPr="00240ED2">
              <w:rPr>
                <w:rFonts w:ascii="Times New Roman" w:eastAsia="Times New Roman" w:hAnsi="Times New Roman" w:cs="Times New Roman"/>
                <w:sz w:val="18"/>
                <w:szCs w:val="18"/>
              </w:rPr>
              <w:t>methodology described in Grassi et al. (202</w:t>
            </w:r>
            <w:r w:rsidR="007140D5" w:rsidRPr="00240ED2">
              <w:rPr>
                <w:rFonts w:ascii="Times New Roman" w:eastAsia="Times New Roman" w:hAnsi="Times New Roman" w:cs="Times New Roman"/>
                <w:sz w:val="18"/>
                <w:szCs w:val="18"/>
              </w:rPr>
              <w:t>2</w:t>
            </w:r>
            <w:r w:rsidRPr="00240ED2">
              <w:rPr>
                <w:rFonts w:ascii="Times New Roman" w:eastAsia="Times New Roman" w:hAnsi="Times New Roman" w:cs="Times New Roman"/>
                <w:sz w:val="18"/>
                <w:szCs w:val="18"/>
              </w:rPr>
              <w:t>)</w:t>
            </w:r>
            <w:r w:rsidR="007140D5" w:rsidRPr="00240ED2">
              <w:rPr>
                <w:rFonts w:ascii="Times New Roman" w:eastAsia="Times New Roman" w:hAnsi="Times New Roman" w:cs="Times New Roman"/>
                <w:sz w:val="18"/>
                <w:szCs w:val="18"/>
              </w:rPr>
              <w:t xml:space="preserve"> and obtained in Grassi et al. (2023)</w:t>
            </w:r>
            <w:r w:rsidRPr="00240ED2">
              <w:rPr>
                <w:rFonts w:ascii="Times New Roman" w:eastAsia="Times New Roman" w:hAnsi="Times New Roman" w:cs="Times New Roman"/>
                <w:sz w:val="18"/>
                <w:szCs w:val="18"/>
              </w:rPr>
              <w:t xml:space="preserve"> </w:t>
            </w:r>
            <w:r w:rsidR="003F127C" w:rsidRPr="00240ED2">
              <w:rPr>
                <w:rFonts w:ascii="Times New Roman" w:eastAsia="Times New Roman" w:hAnsi="Times New Roman" w:cs="Times New Roman"/>
                <w:sz w:val="18"/>
                <w:szCs w:val="18"/>
              </w:rPr>
              <w:t xml:space="preserve">that includes estimates of </w:t>
            </w:r>
            <w:r w:rsidRPr="00240ED2">
              <w:rPr>
                <w:rFonts w:ascii="Times New Roman" w:eastAsia="Times New Roman" w:hAnsi="Times New Roman" w:cs="Times New Roman"/>
                <w:sz w:val="18"/>
                <w:szCs w:val="18"/>
              </w:rPr>
              <w:t xml:space="preserve">forestry emissions </w:t>
            </w:r>
            <w:r w:rsidR="003F127C" w:rsidRPr="00240ED2">
              <w:rPr>
                <w:rFonts w:ascii="Times New Roman" w:eastAsia="Times New Roman" w:hAnsi="Times New Roman" w:cs="Times New Roman"/>
                <w:sz w:val="18"/>
                <w:szCs w:val="18"/>
              </w:rPr>
              <w:t xml:space="preserve">based on </w:t>
            </w:r>
            <w:r w:rsidR="00A53BC9" w:rsidRPr="00240ED2">
              <w:rPr>
                <w:rFonts w:ascii="Times New Roman" w:eastAsia="Times New Roman" w:hAnsi="Times New Roman" w:cs="Times New Roman"/>
                <w:sz w:val="18"/>
                <w:szCs w:val="18"/>
              </w:rPr>
              <w:t xml:space="preserve">the </w:t>
            </w:r>
            <w:r w:rsidRPr="00240ED2">
              <w:rPr>
                <w:rFonts w:ascii="Times New Roman" w:eastAsia="Times New Roman" w:hAnsi="Times New Roman" w:cs="Times New Roman"/>
                <w:sz w:val="18"/>
                <w:szCs w:val="18"/>
              </w:rPr>
              <w:t>IPCC tier 1 methodology, which relies on non-country specific emissions factors</w:t>
            </w:r>
            <w:r w:rsidR="002235EC" w:rsidRPr="00240ED2">
              <w:rPr>
                <w:rFonts w:ascii="Times New Roman" w:eastAsia="Times New Roman" w:hAnsi="Times New Roman" w:cs="Times New Roman"/>
                <w:sz w:val="18"/>
                <w:szCs w:val="18"/>
              </w:rPr>
              <w:t xml:space="preserve"> to ensure global </w:t>
            </w:r>
            <w:r w:rsidR="002235EC" w:rsidRPr="00210B29">
              <w:rPr>
                <w:rFonts w:ascii="Times New Roman" w:eastAsia="Times New Roman" w:hAnsi="Times New Roman" w:cs="Times New Roman"/>
                <w:sz w:val="18"/>
                <w:szCs w:val="18"/>
              </w:rPr>
              <w:t>consistency</w:t>
            </w:r>
            <w:r w:rsidRPr="00210B29">
              <w:rPr>
                <w:rFonts w:ascii="Times New Roman" w:eastAsia="Times New Roman" w:hAnsi="Times New Roman" w:cs="Times New Roman"/>
                <w:sz w:val="18"/>
                <w:szCs w:val="18"/>
              </w:rPr>
              <w:t>. Global e</w:t>
            </w:r>
            <w:r w:rsidRPr="00240ED2">
              <w:rPr>
                <w:rFonts w:ascii="Times New Roman" w:eastAsia="Times New Roman" w:hAnsi="Times New Roman" w:cs="Times New Roman"/>
                <w:sz w:val="18"/>
                <w:szCs w:val="18"/>
              </w:rPr>
              <w:t xml:space="preserve">missions estimates for the LULUCF sector are available from </w:t>
            </w:r>
            <w:r w:rsidRPr="00D535BF">
              <w:rPr>
                <w:rFonts w:ascii="Times New Roman" w:eastAsia="Times New Roman" w:hAnsi="Times New Roman" w:cs="Times New Roman"/>
                <w:sz w:val="18"/>
                <w:szCs w:val="18"/>
              </w:rPr>
              <w:t>1990 to 202</w:t>
            </w:r>
            <w:r w:rsidR="006D3C9E" w:rsidRPr="00D535BF">
              <w:rPr>
                <w:rFonts w:ascii="Times New Roman" w:eastAsia="DengXian" w:hAnsi="Times New Roman" w:cs="Times New Roman"/>
                <w:sz w:val="18"/>
                <w:szCs w:val="18"/>
                <w:lang w:eastAsia="zh-CN"/>
              </w:rPr>
              <w:t>3</w:t>
            </w:r>
            <w:r w:rsidRPr="00D535BF">
              <w:rPr>
                <w:rFonts w:ascii="Times New Roman" w:eastAsia="Times New Roman" w:hAnsi="Times New Roman" w:cs="Times New Roman"/>
                <w:sz w:val="18"/>
                <w:szCs w:val="18"/>
              </w:rPr>
              <w:t xml:space="preserve"> and are obtained from </w:t>
            </w:r>
            <w:hyperlink r:id="rId12" w:history="1">
              <w:r w:rsidR="00210B29" w:rsidRPr="00D535BF">
                <w:rPr>
                  <w:rStyle w:val="Hyperlink"/>
                  <w:rFonts w:ascii="Times New Roman" w:eastAsia="Times New Roman" w:hAnsi="Times New Roman" w:cs="Times New Roman"/>
                  <w:sz w:val="18"/>
                  <w:szCs w:val="18"/>
                </w:rPr>
                <w:t>https://edgar.jrc.ec.europa.eu/report_2024</w:t>
              </w:r>
            </w:hyperlink>
            <w:r w:rsidRPr="00D535BF">
              <w:rPr>
                <w:rFonts w:ascii="Times New Roman" w:eastAsia="Times New Roman" w:hAnsi="Times New Roman" w:cs="Times New Roman"/>
                <w:sz w:val="18"/>
                <w:szCs w:val="18"/>
              </w:rPr>
              <w:t>.</w:t>
            </w:r>
          </w:p>
          <w:p w14:paraId="1C068DFE" w14:textId="77777777" w:rsidR="00452D22" w:rsidRPr="00240ED2" w:rsidRDefault="00452D22" w:rsidP="00452D22">
            <w:pPr>
              <w:spacing w:after="0" w:line="240" w:lineRule="auto"/>
              <w:ind w:right="75"/>
              <w:textAlignment w:val="baseline"/>
              <w:rPr>
                <w:rFonts w:ascii="Times New Roman" w:eastAsia="Times New Roman" w:hAnsi="Times New Roman" w:cs="Times New Roman"/>
                <w:sz w:val="18"/>
                <w:szCs w:val="18"/>
              </w:rPr>
            </w:pPr>
          </w:p>
          <w:p w14:paraId="6426A28E" w14:textId="4EFA6566" w:rsidR="00C90586" w:rsidRPr="00240ED2" w:rsidRDefault="00B82BD0" w:rsidP="00F120DF">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For </w:t>
            </w:r>
            <w:r w:rsidR="00153F64" w:rsidRPr="00240ED2">
              <w:rPr>
                <w:rFonts w:ascii="Times New Roman" w:eastAsia="Times New Roman" w:hAnsi="Times New Roman" w:cs="Times New Roman"/>
                <w:sz w:val="18"/>
                <w:szCs w:val="18"/>
              </w:rPr>
              <w:t>more highly</w:t>
            </w:r>
            <w:r w:rsidRPr="00240ED2">
              <w:rPr>
                <w:rFonts w:ascii="Times New Roman" w:eastAsia="Times New Roman" w:hAnsi="Times New Roman" w:cs="Times New Roman"/>
                <w:sz w:val="18"/>
                <w:szCs w:val="18"/>
              </w:rPr>
              <w:t xml:space="preserve"> </w:t>
            </w:r>
            <w:r w:rsidR="000D5A21" w:rsidRPr="00240ED2">
              <w:rPr>
                <w:rFonts w:ascii="Times New Roman" w:eastAsia="Times New Roman" w:hAnsi="Times New Roman" w:cs="Times New Roman"/>
                <w:sz w:val="18"/>
                <w:szCs w:val="18"/>
              </w:rPr>
              <w:t>disaggregated</w:t>
            </w:r>
            <w:r w:rsidR="00E3323E" w:rsidRPr="00240ED2">
              <w:rPr>
                <w:rFonts w:ascii="Times New Roman" w:eastAsia="Times New Roman" w:hAnsi="Times New Roman" w:cs="Times New Roman"/>
                <w:sz w:val="18"/>
                <w:szCs w:val="18"/>
              </w:rPr>
              <w:t>,</w:t>
            </w:r>
            <w:r w:rsidR="000D5A21" w:rsidRPr="00240ED2">
              <w:rPr>
                <w:rFonts w:ascii="Times New Roman" w:eastAsia="Times New Roman" w:hAnsi="Times New Roman" w:cs="Times New Roman"/>
                <w:sz w:val="18"/>
                <w:szCs w:val="18"/>
              </w:rPr>
              <w:t xml:space="preserve"> </w:t>
            </w:r>
            <w:r w:rsidR="005E3EFE" w:rsidRPr="00240ED2">
              <w:rPr>
                <w:rFonts w:ascii="Times New Roman" w:eastAsia="Times New Roman" w:hAnsi="Times New Roman" w:cs="Times New Roman"/>
                <w:sz w:val="18"/>
                <w:szCs w:val="18"/>
              </w:rPr>
              <w:t xml:space="preserve">country-level </w:t>
            </w:r>
            <w:r w:rsidR="003F31FC" w:rsidRPr="00240ED2">
              <w:rPr>
                <w:rFonts w:ascii="Times New Roman" w:eastAsia="Times New Roman" w:hAnsi="Times New Roman" w:cs="Times New Roman"/>
                <w:sz w:val="18"/>
                <w:szCs w:val="18"/>
              </w:rPr>
              <w:t xml:space="preserve">non-LULUCF </w:t>
            </w:r>
            <w:r w:rsidR="005E3EFE" w:rsidRPr="00240ED2">
              <w:rPr>
                <w:rFonts w:ascii="Times New Roman" w:eastAsia="Times New Roman" w:hAnsi="Times New Roman" w:cs="Times New Roman"/>
                <w:sz w:val="18"/>
                <w:szCs w:val="18"/>
              </w:rPr>
              <w:t>emissions</w:t>
            </w:r>
            <w:r w:rsidR="00F120DF" w:rsidRPr="00240ED2">
              <w:rPr>
                <w:rFonts w:ascii="Times New Roman" w:eastAsia="Times New Roman" w:hAnsi="Times New Roman" w:cs="Times New Roman"/>
                <w:sz w:val="18"/>
                <w:szCs w:val="18"/>
              </w:rPr>
              <w:t xml:space="preserve"> (3 and 4)</w:t>
            </w:r>
            <w:r w:rsidR="003B4156" w:rsidRPr="00240ED2">
              <w:rPr>
                <w:rFonts w:ascii="Times New Roman" w:eastAsia="Times New Roman" w:hAnsi="Times New Roman" w:cs="Times New Roman"/>
                <w:sz w:val="18"/>
                <w:szCs w:val="18"/>
              </w:rPr>
              <w:t>,</w:t>
            </w:r>
            <w:r w:rsidR="005D25DC" w:rsidRPr="00240ED2">
              <w:rPr>
                <w:rFonts w:ascii="Times New Roman" w:eastAsia="Times New Roman" w:hAnsi="Times New Roman" w:cs="Times New Roman"/>
                <w:sz w:val="18"/>
                <w:szCs w:val="18"/>
              </w:rPr>
              <w:t xml:space="preserve"> </w:t>
            </w:r>
            <w:r w:rsidRPr="00240ED2">
              <w:rPr>
                <w:rFonts w:ascii="Times New Roman" w:eastAsia="Times New Roman" w:hAnsi="Times New Roman" w:cs="Times New Roman"/>
                <w:sz w:val="18"/>
                <w:szCs w:val="18"/>
              </w:rPr>
              <w:t>a more granular EDGAR dataset (</w:t>
            </w:r>
            <w:r w:rsidRPr="00D535BF">
              <w:rPr>
                <w:rFonts w:ascii="Times New Roman" w:eastAsia="Times New Roman" w:hAnsi="Times New Roman" w:cs="Times New Roman"/>
                <w:sz w:val="18"/>
                <w:szCs w:val="18"/>
              </w:rPr>
              <w:t>EDGAR</w:t>
            </w:r>
            <w:r w:rsidR="006B6A8A" w:rsidRPr="00D535BF">
              <w:rPr>
                <w:rFonts w:ascii="Times New Roman" w:eastAsia="Times New Roman" w:hAnsi="Times New Roman" w:cs="Times New Roman"/>
                <w:sz w:val="18"/>
                <w:szCs w:val="18"/>
              </w:rPr>
              <w:t>_2024_GHG</w:t>
            </w:r>
            <w:r w:rsidRPr="00D535BF">
              <w:rPr>
                <w:rFonts w:ascii="Times New Roman" w:eastAsia="Times New Roman" w:hAnsi="Times New Roman" w:cs="Times New Roman"/>
                <w:sz w:val="18"/>
                <w:szCs w:val="18"/>
              </w:rPr>
              <w:t>)</w:t>
            </w:r>
            <w:r w:rsidRPr="00D535BF">
              <w:rPr>
                <w:rStyle w:val="FootnoteReference"/>
                <w:rFonts w:ascii="Times New Roman" w:eastAsia="Times New Roman" w:hAnsi="Times New Roman" w:cs="Times New Roman"/>
                <w:sz w:val="18"/>
                <w:szCs w:val="18"/>
              </w:rPr>
              <w:footnoteReference w:id="5"/>
            </w:r>
            <w:r w:rsidRPr="00D535BF">
              <w:rPr>
                <w:rFonts w:ascii="Times New Roman" w:eastAsia="Times New Roman" w:hAnsi="Times New Roman" w:cs="Times New Roman"/>
                <w:sz w:val="18"/>
                <w:szCs w:val="18"/>
              </w:rPr>
              <w:t xml:space="preserve"> </w:t>
            </w:r>
            <w:r w:rsidR="005D25DC" w:rsidRPr="00D535BF">
              <w:rPr>
                <w:rFonts w:ascii="Times New Roman" w:eastAsia="Times New Roman" w:hAnsi="Times New Roman" w:cs="Times New Roman"/>
                <w:sz w:val="18"/>
                <w:szCs w:val="18"/>
              </w:rPr>
              <w:t xml:space="preserve">is </w:t>
            </w:r>
            <w:r w:rsidRPr="00D535BF">
              <w:rPr>
                <w:rFonts w:ascii="Times New Roman" w:eastAsia="Times New Roman" w:hAnsi="Times New Roman" w:cs="Times New Roman"/>
                <w:sz w:val="18"/>
                <w:szCs w:val="18"/>
              </w:rPr>
              <w:t>used</w:t>
            </w:r>
            <w:r w:rsidR="00153F64" w:rsidRPr="00D535BF">
              <w:rPr>
                <w:rFonts w:ascii="Times New Roman" w:eastAsia="Times New Roman" w:hAnsi="Times New Roman" w:cs="Times New Roman"/>
                <w:sz w:val="18"/>
                <w:szCs w:val="18"/>
              </w:rPr>
              <w:t>,</w:t>
            </w:r>
            <w:r w:rsidR="008361E3" w:rsidRPr="00D535BF">
              <w:rPr>
                <w:rFonts w:ascii="Times New Roman" w:eastAsia="Times New Roman" w:hAnsi="Times New Roman" w:cs="Times New Roman"/>
                <w:sz w:val="18"/>
                <w:szCs w:val="18"/>
              </w:rPr>
              <w:t xml:space="preserve"> which includes national </w:t>
            </w:r>
            <w:r w:rsidR="004B5ED1" w:rsidRPr="00D535BF">
              <w:rPr>
                <w:rFonts w:ascii="Times New Roman" w:eastAsia="Times New Roman" w:hAnsi="Times New Roman" w:cs="Times New Roman"/>
                <w:sz w:val="18"/>
                <w:szCs w:val="18"/>
              </w:rPr>
              <w:t xml:space="preserve">estimates </w:t>
            </w:r>
            <w:r w:rsidR="00D121AA" w:rsidRPr="00D535BF">
              <w:rPr>
                <w:rFonts w:ascii="Times New Roman" w:eastAsia="Times New Roman" w:hAnsi="Times New Roman" w:cs="Times New Roman"/>
                <w:sz w:val="18"/>
                <w:szCs w:val="18"/>
              </w:rPr>
              <w:t xml:space="preserve">of </w:t>
            </w:r>
            <w:r w:rsidR="005D25DC" w:rsidRPr="00D535BF">
              <w:rPr>
                <w:rFonts w:ascii="Times New Roman" w:eastAsia="Times New Roman" w:hAnsi="Times New Roman" w:cs="Times New Roman"/>
                <w:sz w:val="18"/>
                <w:szCs w:val="18"/>
              </w:rPr>
              <w:t xml:space="preserve">annual emissions </w:t>
            </w:r>
            <w:r w:rsidR="003A7B4F" w:rsidRPr="00D535BF">
              <w:rPr>
                <w:rFonts w:ascii="Times New Roman" w:eastAsia="Times New Roman" w:hAnsi="Times New Roman" w:cs="Times New Roman"/>
                <w:sz w:val="18"/>
                <w:szCs w:val="18"/>
              </w:rPr>
              <w:t xml:space="preserve">disaggregated </w:t>
            </w:r>
            <w:r w:rsidR="00D121AA" w:rsidRPr="00D535BF">
              <w:rPr>
                <w:rFonts w:ascii="Times New Roman" w:eastAsia="Times New Roman" w:hAnsi="Times New Roman" w:cs="Times New Roman"/>
                <w:sz w:val="18"/>
                <w:szCs w:val="18"/>
              </w:rPr>
              <w:t xml:space="preserve">by </w:t>
            </w:r>
            <w:r w:rsidR="00DE618F" w:rsidRPr="00D535BF">
              <w:rPr>
                <w:rFonts w:ascii="Times New Roman" w:eastAsia="Times New Roman" w:hAnsi="Times New Roman" w:cs="Times New Roman"/>
                <w:sz w:val="18"/>
                <w:szCs w:val="18"/>
              </w:rPr>
              <w:t>37</w:t>
            </w:r>
            <w:r w:rsidR="00D121AA" w:rsidRPr="00D535BF">
              <w:rPr>
                <w:rFonts w:ascii="Times New Roman" w:eastAsia="Times New Roman" w:hAnsi="Times New Roman" w:cs="Times New Roman"/>
                <w:sz w:val="18"/>
                <w:szCs w:val="18"/>
              </w:rPr>
              <w:t xml:space="preserve"> subsectors and </w:t>
            </w:r>
            <w:r w:rsidR="006A40D7" w:rsidRPr="00D535BF">
              <w:rPr>
                <w:rFonts w:ascii="Times New Roman" w:eastAsia="Times New Roman" w:hAnsi="Times New Roman" w:cs="Times New Roman"/>
                <w:sz w:val="18"/>
                <w:szCs w:val="18"/>
              </w:rPr>
              <w:t>2</w:t>
            </w:r>
            <w:r w:rsidR="00026A59" w:rsidRPr="00D535BF">
              <w:rPr>
                <w:rFonts w:ascii="Times New Roman" w:eastAsia="Times New Roman" w:hAnsi="Times New Roman" w:cs="Times New Roman"/>
                <w:sz w:val="18"/>
                <w:szCs w:val="18"/>
              </w:rPr>
              <w:t>8</w:t>
            </w:r>
            <w:r w:rsidR="00D121AA" w:rsidRPr="00D535BF">
              <w:rPr>
                <w:rFonts w:ascii="Times New Roman" w:eastAsia="Times New Roman" w:hAnsi="Times New Roman" w:cs="Times New Roman"/>
                <w:sz w:val="18"/>
                <w:szCs w:val="18"/>
              </w:rPr>
              <w:t xml:space="preserve"> GHGs</w:t>
            </w:r>
            <w:r w:rsidR="00223B6F" w:rsidRPr="00D535BF">
              <w:rPr>
                <w:rFonts w:ascii="Times New Roman" w:eastAsia="Times New Roman" w:hAnsi="Times New Roman" w:cs="Times New Roman"/>
                <w:sz w:val="18"/>
                <w:szCs w:val="18"/>
              </w:rPr>
              <w:t xml:space="preserve"> (CO2, CH4, N2O,</w:t>
            </w:r>
            <w:r w:rsidR="003859EE" w:rsidRPr="00D535BF">
              <w:rPr>
                <w:rFonts w:ascii="Times New Roman" w:eastAsia="Times New Roman" w:hAnsi="Times New Roman" w:cs="Times New Roman"/>
                <w:sz w:val="18"/>
                <w:szCs w:val="18"/>
              </w:rPr>
              <w:t xml:space="preserve"> and </w:t>
            </w:r>
            <w:r w:rsidR="00E867F3" w:rsidRPr="00D535BF">
              <w:rPr>
                <w:rFonts w:ascii="Times New Roman" w:eastAsia="Times New Roman" w:hAnsi="Times New Roman" w:cs="Times New Roman"/>
                <w:sz w:val="18"/>
                <w:szCs w:val="18"/>
              </w:rPr>
              <w:t>2</w:t>
            </w:r>
            <w:r w:rsidR="00026A59" w:rsidRPr="00D535BF">
              <w:rPr>
                <w:rFonts w:ascii="Times New Roman" w:eastAsia="Times New Roman" w:hAnsi="Times New Roman" w:cs="Times New Roman"/>
                <w:sz w:val="18"/>
                <w:szCs w:val="18"/>
              </w:rPr>
              <w:t>5</w:t>
            </w:r>
            <w:r w:rsidR="008859A6" w:rsidRPr="00D535BF">
              <w:rPr>
                <w:rFonts w:ascii="Times New Roman" w:eastAsia="Times New Roman" w:hAnsi="Times New Roman" w:cs="Times New Roman"/>
                <w:sz w:val="18"/>
                <w:szCs w:val="18"/>
              </w:rPr>
              <w:t xml:space="preserve"> </w:t>
            </w:r>
            <w:r w:rsidR="00223D8B" w:rsidRPr="00D535BF">
              <w:rPr>
                <w:rFonts w:ascii="Times New Roman" w:eastAsia="Times New Roman" w:hAnsi="Times New Roman" w:cs="Times New Roman"/>
                <w:sz w:val="18"/>
                <w:szCs w:val="18"/>
              </w:rPr>
              <w:t>different F-gases</w:t>
            </w:r>
            <w:r w:rsidR="003859EE" w:rsidRPr="00D535BF">
              <w:rPr>
                <w:rFonts w:ascii="Times New Roman" w:eastAsia="Times New Roman" w:hAnsi="Times New Roman" w:cs="Times New Roman"/>
                <w:sz w:val="18"/>
                <w:szCs w:val="18"/>
              </w:rPr>
              <w:t>)</w:t>
            </w:r>
            <w:r w:rsidR="00223B6F" w:rsidRPr="00D535BF">
              <w:rPr>
                <w:rFonts w:ascii="Times New Roman" w:eastAsia="Times New Roman" w:hAnsi="Times New Roman" w:cs="Times New Roman"/>
                <w:sz w:val="18"/>
                <w:szCs w:val="18"/>
              </w:rPr>
              <w:t xml:space="preserve"> </w:t>
            </w:r>
            <w:r w:rsidR="005D25DC" w:rsidRPr="00D535BF">
              <w:rPr>
                <w:rFonts w:ascii="Times New Roman" w:eastAsia="Times New Roman" w:hAnsi="Times New Roman" w:cs="Times New Roman"/>
                <w:sz w:val="18"/>
                <w:szCs w:val="18"/>
              </w:rPr>
              <w:t>from 1970 to</w:t>
            </w:r>
            <w:r w:rsidR="00D535BF">
              <w:rPr>
                <w:rFonts w:ascii="Times New Roman" w:eastAsia="Times New Roman" w:hAnsi="Times New Roman" w:cs="Times New Roman"/>
                <w:sz w:val="18"/>
                <w:szCs w:val="18"/>
              </w:rPr>
              <w:t xml:space="preserve"> 2023.</w:t>
            </w:r>
            <w:r w:rsidRPr="00D535BF">
              <w:rPr>
                <w:rFonts w:ascii="Times New Roman" w:eastAsia="Times New Roman" w:hAnsi="Times New Roman" w:cs="Times New Roman"/>
                <w:sz w:val="18"/>
                <w:szCs w:val="18"/>
              </w:rPr>
              <w:t xml:space="preserve"> </w:t>
            </w:r>
            <w:r w:rsidR="00D535BF">
              <w:rPr>
                <w:rFonts w:ascii="Times New Roman" w:eastAsia="Times New Roman" w:hAnsi="Times New Roman" w:cs="Times New Roman"/>
                <w:sz w:val="18"/>
                <w:szCs w:val="18"/>
              </w:rPr>
              <w:t>EDGAR_2</w:t>
            </w:r>
            <w:r w:rsidR="001C6BC6" w:rsidRPr="00D535BF">
              <w:rPr>
                <w:rFonts w:ascii="Times New Roman" w:eastAsia="Times New Roman" w:hAnsi="Times New Roman" w:cs="Times New Roman"/>
                <w:sz w:val="18"/>
                <w:szCs w:val="18"/>
              </w:rPr>
              <w:t>024_GHG</w:t>
            </w:r>
            <w:r w:rsidR="00C90586" w:rsidRPr="00D535BF">
              <w:rPr>
                <w:rFonts w:ascii="Times New Roman" w:eastAsia="Times New Roman" w:hAnsi="Times New Roman" w:cs="Times New Roman"/>
                <w:sz w:val="18"/>
                <w:szCs w:val="18"/>
              </w:rPr>
              <w:t>'s</w:t>
            </w:r>
            <w:r w:rsidR="00C90586" w:rsidRPr="00240ED2">
              <w:rPr>
                <w:rFonts w:ascii="Times New Roman" w:eastAsia="Times New Roman" w:hAnsi="Times New Roman" w:cs="Times New Roman"/>
                <w:sz w:val="18"/>
                <w:szCs w:val="18"/>
              </w:rPr>
              <w:t xml:space="preserve"> GHG estimates for combustion and industrial processes are based on the application of IPCC GHG accounting methodology across all countries. EDGAR uses data from the IEA</w:t>
            </w:r>
            <w:r w:rsidR="008C678C" w:rsidRPr="00240ED2">
              <w:rPr>
                <w:rFonts w:ascii="Times New Roman" w:eastAsia="Times New Roman" w:hAnsi="Times New Roman" w:cs="Times New Roman"/>
                <w:sz w:val="18"/>
                <w:szCs w:val="18"/>
              </w:rPr>
              <w:t xml:space="preserve">, </w:t>
            </w:r>
            <w:r w:rsidR="00C90586" w:rsidRPr="00240ED2">
              <w:rPr>
                <w:rFonts w:ascii="Times New Roman" w:eastAsia="Times New Roman" w:hAnsi="Times New Roman" w:cs="Times New Roman"/>
                <w:sz w:val="18"/>
                <w:szCs w:val="18"/>
              </w:rPr>
              <w:t>Energy Institute</w:t>
            </w:r>
            <w:r w:rsidR="008C678C" w:rsidRPr="00240ED2">
              <w:rPr>
                <w:rFonts w:ascii="Times New Roman" w:eastAsia="Times New Roman" w:hAnsi="Times New Roman" w:cs="Times New Roman"/>
                <w:sz w:val="18"/>
                <w:szCs w:val="18"/>
              </w:rPr>
              <w:t>, UNFCCC</w:t>
            </w:r>
            <w:r w:rsidR="00A94B5B" w:rsidRPr="00240ED2">
              <w:rPr>
                <w:rFonts w:ascii="Times New Roman" w:eastAsia="Times New Roman" w:hAnsi="Times New Roman" w:cs="Times New Roman"/>
                <w:sz w:val="18"/>
                <w:szCs w:val="18"/>
              </w:rPr>
              <w:t>, FAO, and other reputable sources</w:t>
            </w:r>
            <w:r w:rsidR="00C90586" w:rsidRPr="00240ED2">
              <w:rPr>
                <w:rFonts w:ascii="Times New Roman" w:eastAsia="Times New Roman" w:hAnsi="Times New Roman" w:cs="Times New Roman"/>
                <w:sz w:val="18"/>
                <w:szCs w:val="18"/>
              </w:rPr>
              <w:t xml:space="preserve"> to derive GHG emissions at subnational and </w:t>
            </w:r>
            <w:proofErr w:type="spellStart"/>
            <w:r w:rsidR="00C90586" w:rsidRPr="00240ED2">
              <w:rPr>
                <w:rFonts w:ascii="Times New Roman" w:eastAsia="Times New Roman" w:hAnsi="Times New Roman" w:cs="Times New Roman"/>
                <w:sz w:val="18"/>
                <w:szCs w:val="18"/>
              </w:rPr>
              <w:t>subsectoral</w:t>
            </w:r>
            <w:proofErr w:type="spellEnd"/>
            <w:r w:rsidR="00C90586" w:rsidRPr="00240ED2">
              <w:rPr>
                <w:rFonts w:ascii="Times New Roman" w:eastAsia="Times New Roman" w:hAnsi="Times New Roman" w:cs="Times New Roman"/>
                <w:sz w:val="18"/>
                <w:szCs w:val="18"/>
              </w:rPr>
              <w:t xml:space="preserve"> level based on activity and emission factors. </w:t>
            </w:r>
            <w:r w:rsidR="00A067EF" w:rsidRPr="00240ED2">
              <w:rPr>
                <w:rFonts w:ascii="Times New Roman" w:eastAsia="Times New Roman" w:hAnsi="Times New Roman" w:cs="Times New Roman"/>
                <w:sz w:val="18"/>
                <w:szCs w:val="18"/>
              </w:rPr>
              <w:t xml:space="preserve">These data when aggregated to the global level are nearly identical to the </w:t>
            </w:r>
            <w:r w:rsidR="006A4CEA" w:rsidRPr="00240ED2">
              <w:rPr>
                <w:rFonts w:ascii="Times New Roman" w:eastAsia="Times New Roman" w:hAnsi="Times New Roman" w:cs="Times New Roman"/>
                <w:sz w:val="18"/>
                <w:szCs w:val="18"/>
              </w:rPr>
              <w:t>EDGAR Report data</w:t>
            </w:r>
            <w:r w:rsidR="00A067EF" w:rsidRPr="00240ED2">
              <w:rPr>
                <w:rFonts w:ascii="Times New Roman" w:eastAsia="Times New Roman" w:hAnsi="Times New Roman" w:cs="Times New Roman"/>
                <w:sz w:val="18"/>
                <w:szCs w:val="18"/>
              </w:rPr>
              <w:t>.</w:t>
            </w:r>
          </w:p>
          <w:p w14:paraId="1D1AACD1" w14:textId="77777777" w:rsidR="00F00C41" w:rsidRPr="00240ED2" w:rsidRDefault="00F00C41" w:rsidP="00F00C41">
            <w:pPr>
              <w:spacing w:after="0" w:line="240" w:lineRule="auto"/>
              <w:ind w:right="75"/>
              <w:textAlignment w:val="baseline"/>
              <w:rPr>
                <w:rFonts w:ascii="Times New Roman" w:eastAsia="Times New Roman" w:hAnsi="Times New Roman" w:cs="Times New Roman"/>
                <w:sz w:val="18"/>
                <w:szCs w:val="18"/>
              </w:rPr>
            </w:pPr>
          </w:p>
          <w:p w14:paraId="4013FCC6" w14:textId="1803A968" w:rsidR="002E34D5" w:rsidRPr="00240ED2" w:rsidRDefault="00F00C41" w:rsidP="00F00C41">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The </w:t>
            </w:r>
            <w:r w:rsidR="00590C29" w:rsidRPr="00240ED2">
              <w:rPr>
                <w:rFonts w:ascii="Times New Roman" w:eastAsia="Times New Roman" w:hAnsi="Times New Roman" w:cs="Times New Roman"/>
                <w:sz w:val="18"/>
                <w:szCs w:val="18"/>
              </w:rPr>
              <w:t xml:space="preserve">disaggregated </w:t>
            </w:r>
            <w:r w:rsidRPr="00240ED2">
              <w:rPr>
                <w:rFonts w:ascii="Times New Roman" w:eastAsia="Times New Roman" w:hAnsi="Times New Roman" w:cs="Times New Roman"/>
                <w:sz w:val="18"/>
                <w:szCs w:val="18"/>
              </w:rPr>
              <w:t>country</w:t>
            </w:r>
            <w:r w:rsidR="005D25DC" w:rsidRPr="00240ED2">
              <w:rPr>
                <w:rFonts w:ascii="Times New Roman" w:eastAsia="Times New Roman" w:hAnsi="Times New Roman" w:cs="Times New Roman"/>
                <w:sz w:val="18"/>
                <w:szCs w:val="18"/>
              </w:rPr>
              <w:t xml:space="preserve"> </w:t>
            </w:r>
            <w:r w:rsidRPr="00240ED2">
              <w:rPr>
                <w:rFonts w:ascii="Times New Roman" w:eastAsia="Times New Roman" w:hAnsi="Times New Roman" w:cs="Times New Roman"/>
                <w:sz w:val="18"/>
                <w:szCs w:val="18"/>
              </w:rPr>
              <w:t xml:space="preserve">level data for LULUCF, are based on a dataset produced </w:t>
            </w:r>
            <w:r w:rsidRPr="00D535BF">
              <w:rPr>
                <w:rFonts w:ascii="Times New Roman" w:eastAsia="Times New Roman" w:hAnsi="Times New Roman" w:cs="Times New Roman"/>
                <w:sz w:val="18"/>
                <w:szCs w:val="18"/>
              </w:rPr>
              <w:t>by</w:t>
            </w:r>
            <w:r w:rsidR="005909EC" w:rsidRPr="00D535BF">
              <w:rPr>
                <w:rFonts w:ascii="Times New Roman" w:eastAsia="Times New Roman" w:hAnsi="Times New Roman" w:cs="Times New Roman"/>
                <w:sz w:val="18"/>
                <w:szCs w:val="18"/>
              </w:rPr>
              <w:t xml:space="preserve"> EU Forest Observatory</w:t>
            </w:r>
            <w:r w:rsidR="005462E3" w:rsidRPr="00240ED2">
              <w:rPr>
                <w:rFonts w:ascii="Times New Roman" w:eastAsia="Times New Roman" w:hAnsi="Times New Roman" w:cs="Times New Roman"/>
                <w:sz w:val="18"/>
                <w:szCs w:val="18"/>
              </w:rPr>
              <w:t>.</w:t>
            </w:r>
            <w:r w:rsidR="00BD273F" w:rsidRPr="00240ED2">
              <w:rPr>
                <w:rStyle w:val="FootnoteReference"/>
                <w:rFonts w:ascii="Times New Roman" w:eastAsia="Times New Roman" w:hAnsi="Times New Roman" w:cs="Times New Roman"/>
                <w:sz w:val="18"/>
                <w:szCs w:val="18"/>
              </w:rPr>
              <w:footnoteReference w:id="6"/>
            </w:r>
            <w:r w:rsidRPr="00240ED2">
              <w:rPr>
                <w:rFonts w:ascii="Times New Roman" w:eastAsia="Times New Roman" w:hAnsi="Times New Roman" w:cs="Times New Roman"/>
                <w:sz w:val="18"/>
                <w:szCs w:val="18"/>
              </w:rPr>
              <w:t xml:space="preserve"> This method draws data from submissions and briefs to the UNFCCC and REDD</w:t>
            </w:r>
            <w:r w:rsidR="00C15312" w:rsidRPr="00240ED2">
              <w:rPr>
                <w:rFonts w:ascii="Times New Roman" w:eastAsia="Times New Roman" w:hAnsi="Times New Roman" w:cs="Times New Roman"/>
                <w:sz w:val="18"/>
                <w:szCs w:val="18"/>
              </w:rPr>
              <w:t>+</w:t>
            </w:r>
            <w:r w:rsidRPr="00240ED2">
              <w:rPr>
                <w:rFonts w:ascii="Times New Roman" w:eastAsia="Times New Roman" w:hAnsi="Times New Roman" w:cs="Times New Roman"/>
                <w:sz w:val="18"/>
                <w:szCs w:val="18"/>
              </w:rPr>
              <w:t xml:space="preserve"> to report emissions and removals under four primary categories (managed forest land, deforestation, organic soils, other land uses). </w:t>
            </w:r>
            <w:r w:rsidR="00D85F0C" w:rsidRPr="00240ED2">
              <w:rPr>
                <w:rFonts w:ascii="Times New Roman" w:eastAsia="Times New Roman" w:hAnsi="Times New Roman" w:cs="Times New Roman"/>
                <w:sz w:val="18"/>
                <w:szCs w:val="18"/>
              </w:rPr>
              <w:t>These estimate</w:t>
            </w:r>
            <w:r w:rsidR="00741459" w:rsidRPr="00240ED2">
              <w:rPr>
                <w:rFonts w:ascii="Times New Roman" w:eastAsia="Times New Roman" w:hAnsi="Times New Roman" w:cs="Times New Roman"/>
                <w:sz w:val="18"/>
                <w:szCs w:val="18"/>
              </w:rPr>
              <w:t>s</w:t>
            </w:r>
            <w:r w:rsidR="00D85F0C" w:rsidRPr="00240ED2">
              <w:rPr>
                <w:rFonts w:ascii="Times New Roman" w:eastAsia="Times New Roman" w:hAnsi="Times New Roman" w:cs="Times New Roman"/>
                <w:sz w:val="18"/>
                <w:szCs w:val="18"/>
              </w:rPr>
              <w:t xml:space="preserve"> </w:t>
            </w:r>
            <w:r w:rsidR="0086705F" w:rsidRPr="00240ED2">
              <w:rPr>
                <w:rFonts w:ascii="Times New Roman" w:eastAsia="Times New Roman" w:hAnsi="Times New Roman" w:cs="Times New Roman"/>
                <w:sz w:val="18"/>
                <w:szCs w:val="18"/>
              </w:rPr>
              <w:t xml:space="preserve">are </w:t>
            </w:r>
            <w:r w:rsidR="00A6757C" w:rsidRPr="00240ED2">
              <w:rPr>
                <w:rFonts w:ascii="Times New Roman" w:eastAsia="Times New Roman" w:hAnsi="Times New Roman" w:cs="Times New Roman"/>
                <w:sz w:val="18"/>
                <w:szCs w:val="18"/>
              </w:rPr>
              <w:t>comparable</w:t>
            </w:r>
            <w:r w:rsidR="0086705F" w:rsidRPr="00240ED2">
              <w:rPr>
                <w:rFonts w:ascii="Times New Roman" w:eastAsia="Times New Roman" w:hAnsi="Times New Roman" w:cs="Times New Roman"/>
                <w:sz w:val="18"/>
                <w:szCs w:val="18"/>
              </w:rPr>
              <w:t xml:space="preserve"> </w:t>
            </w:r>
            <w:r w:rsidR="00E90D90" w:rsidRPr="00240ED2">
              <w:rPr>
                <w:rFonts w:ascii="Times New Roman" w:eastAsia="Times New Roman" w:hAnsi="Times New Roman" w:cs="Times New Roman"/>
                <w:sz w:val="18"/>
                <w:szCs w:val="18"/>
              </w:rPr>
              <w:t>to</w:t>
            </w:r>
            <w:r w:rsidR="0086705F" w:rsidRPr="00240ED2">
              <w:rPr>
                <w:rFonts w:ascii="Times New Roman" w:eastAsia="Times New Roman" w:hAnsi="Times New Roman" w:cs="Times New Roman"/>
                <w:sz w:val="18"/>
                <w:szCs w:val="18"/>
              </w:rPr>
              <w:t xml:space="preserve"> a country’s own emissions estimates </w:t>
            </w:r>
            <w:r w:rsidR="004406A3" w:rsidRPr="00240ED2">
              <w:rPr>
                <w:rFonts w:ascii="Times New Roman" w:eastAsia="Times New Roman" w:hAnsi="Times New Roman" w:cs="Times New Roman"/>
                <w:sz w:val="18"/>
                <w:szCs w:val="18"/>
              </w:rPr>
              <w:t>and</w:t>
            </w:r>
            <w:r w:rsidR="007E3CDC" w:rsidRPr="00240ED2">
              <w:rPr>
                <w:rFonts w:ascii="Times New Roman" w:eastAsia="Times New Roman" w:hAnsi="Times New Roman" w:cs="Times New Roman"/>
                <w:sz w:val="18"/>
                <w:szCs w:val="18"/>
              </w:rPr>
              <w:t xml:space="preserve"> </w:t>
            </w:r>
            <w:r w:rsidR="0086705F" w:rsidRPr="00240ED2">
              <w:rPr>
                <w:rFonts w:ascii="Times New Roman" w:eastAsia="Times New Roman" w:hAnsi="Times New Roman" w:cs="Times New Roman"/>
                <w:sz w:val="18"/>
                <w:szCs w:val="18"/>
              </w:rPr>
              <w:t xml:space="preserve">are </w:t>
            </w:r>
            <w:r w:rsidR="007E3CDC" w:rsidRPr="00240ED2">
              <w:rPr>
                <w:rFonts w:ascii="Times New Roman" w:eastAsia="Times New Roman" w:hAnsi="Times New Roman" w:cs="Times New Roman"/>
                <w:sz w:val="18"/>
                <w:szCs w:val="18"/>
              </w:rPr>
              <w:t xml:space="preserve">better aligned with countries’ available emissions mitigation strategies (such as the </w:t>
            </w:r>
            <w:r w:rsidR="00AB58C9" w:rsidRPr="00240ED2">
              <w:rPr>
                <w:rFonts w:ascii="Times New Roman" w:eastAsia="Times New Roman" w:hAnsi="Times New Roman" w:cs="Times New Roman"/>
                <w:sz w:val="18"/>
                <w:szCs w:val="18"/>
              </w:rPr>
              <w:t>management</w:t>
            </w:r>
            <w:r w:rsidR="0086705F" w:rsidRPr="00240ED2">
              <w:rPr>
                <w:rFonts w:ascii="Times New Roman" w:eastAsia="Times New Roman" w:hAnsi="Times New Roman" w:cs="Times New Roman"/>
                <w:sz w:val="18"/>
                <w:szCs w:val="18"/>
              </w:rPr>
              <w:t xml:space="preserve"> of </w:t>
            </w:r>
            <w:r w:rsidR="007E3CDC" w:rsidRPr="00240ED2">
              <w:rPr>
                <w:rFonts w:ascii="Times New Roman" w:eastAsia="Times New Roman" w:hAnsi="Times New Roman" w:cs="Times New Roman"/>
                <w:sz w:val="18"/>
                <w:szCs w:val="18"/>
              </w:rPr>
              <w:t>forests</w:t>
            </w:r>
            <w:r w:rsidR="00AB58C9" w:rsidRPr="00240ED2">
              <w:rPr>
                <w:rFonts w:ascii="Times New Roman" w:eastAsia="Times New Roman" w:hAnsi="Times New Roman" w:cs="Times New Roman"/>
                <w:sz w:val="18"/>
                <w:szCs w:val="18"/>
              </w:rPr>
              <w:t xml:space="preserve"> for </w:t>
            </w:r>
            <w:r w:rsidR="00C87208" w:rsidRPr="00240ED2">
              <w:rPr>
                <w:rFonts w:ascii="Times New Roman" w:eastAsia="Times New Roman" w:hAnsi="Times New Roman" w:cs="Times New Roman"/>
                <w:sz w:val="18"/>
                <w:szCs w:val="18"/>
              </w:rPr>
              <w:t>mitigation</w:t>
            </w:r>
            <w:r w:rsidR="007E3CDC" w:rsidRPr="00240ED2">
              <w:rPr>
                <w:rFonts w:ascii="Times New Roman" w:eastAsia="Times New Roman" w:hAnsi="Times New Roman" w:cs="Times New Roman"/>
                <w:sz w:val="18"/>
                <w:szCs w:val="18"/>
              </w:rPr>
              <w:t xml:space="preserve">) and link directly to </w:t>
            </w:r>
            <w:r w:rsidR="0086705F" w:rsidRPr="00240ED2">
              <w:rPr>
                <w:rFonts w:ascii="Times New Roman" w:eastAsia="Times New Roman" w:hAnsi="Times New Roman" w:cs="Times New Roman"/>
                <w:sz w:val="18"/>
                <w:szCs w:val="18"/>
              </w:rPr>
              <w:t xml:space="preserve">their </w:t>
            </w:r>
            <w:r w:rsidR="007E3CDC" w:rsidRPr="00240ED2">
              <w:rPr>
                <w:rFonts w:ascii="Times New Roman" w:eastAsia="Times New Roman" w:hAnsi="Times New Roman" w:cs="Times New Roman"/>
                <w:sz w:val="18"/>
                <w:szCs w:val="18"/>
              </w:rPr>
              <w:t>mitigation commitments and plans through their Nationally Determined Contributions (NDCs) and Long-term Strategies (LTSs).</w:t>
            </w:r>
            <w:r w:rsidR="00741459" w:rsidRPr="00240ED2">
              <w:rPr>
                <w:rFonts w:ascii="Times New Roman" w:eastAsia="Times New Roman" w:hAnsi="Times New Roman" w:cs="Times New Roman"/>
                <w:sz w:val="18"/>
                <w:szCs w:val="18"/>
              </w:rPr>
              <w:t xml:space="preserve"> </w:t>
            </w:r>
            <w:r w:rsidR="004C29E0" w:rsidRPr="00240ED2">
              <w:rPr>
                <w:rFonts w:ascii="Times New Roman" w:eastAsia="Times New Roman" w:hAnsi="Times New Roman" w:cs="Times New Roman"/>
                <w:sz w:val="18"/>
                <w:szCs w:val="18"/>
              </w:rPr>
              <w:t xml:space="preserve">These data are currently only available </w:t>
            </w:r>
            <w:r w:rsidR="00D121AA" w:rsidRPr="00240ED2">
              <w:rPr>
                <w:rFonts w:ascii="Times New Roman" w:eastAsia="Times New Roman" w:hAnsi="Times New Roman" w:cs="Times New Roman"/>
                <w:sz w:val="18"/>
                <w:szCs w:val="18"/>
              </w:rPr>
              <w:t>from</w:t>
            </w:r>
            <w:r w:rsidR="008F694F">
              <w:rPr>
                <w:rFonts w:ascii="Times New Roman" w:eastAsia="Times New Roman" w:hAnsi="Times New Roman" w:cs="Times New Roman"/>
                <w:sz w:val="18"/>
                <w:szCs w:val="18"/>
              </w:rPr>
              <w:t xml:space="preserve"> 2000-2022</w:t>
            </w:r>
            <w:r w:rsidR="004C29E0" w:rsidRPr="00240ED2">
              <w:rPr>
                <w:rFonts w:ascii="Times New Roman" w:eastAsia="Times New Roman" w:hAnsi="Times New Roman" w:cs="Times New Roman"/>
                <w:sz w:val="18"/>
                <w:szCs w:val="18"/>
              </w:rPr>
              <w:t xml:space="preserve"> </w:t>
            </w:r>
            <w:r w:rsidR="008F694F">
              <w:rPr>
                <w:rFonts w:ascii="Times New Roman" w:eastAsia="Times New Roman" w:hAnsi="Times New Roman" w:cs="Times New Roman"/>
                <w:sz w:val="18"/>
                <w:szCs w:val="18"/>
              </w:rPr>
              <w:t xml:space="preserve">and will be </w:t>
            </w:r>
            <w:r w:rsidR="004C29E0" w:rsidRPr="00240ED2">
              <w:rPr>
                <w:rFonts w:ascii="Times New Roman" w:eastAsia="Times New Roman" w:hAnsi="Times New Roman" w:cs="Times New Roman"/>
                <w:sz w:val="18"/>
                <w:szCs w:val="18"/>
              </w:rPr>
              <w:t>update</w:t>
            </w:r>
            <w:r w:rsidR="008F694F">
              <w:rPr>
                <w:rFonts w:ascii="Times New Roman" w:eastAsia="Times New Roman" w:hAnsi="Times New Roman" w:cs="Times New Roman"/>
                <w:sz w:val="18"/>
                <w:szCs w:val="18"/>
              </w:rPr>
              <w:t>d</w:t>
            </w:r>
            <w:r w:rsidR="004C29E0" w:rsidRPr="00240ED2">
              <w:rPr>
                <w:rFonts w:ascii="Times New Roman" w:eastAsia="Times New Roman" w:hAnsi="Times New Roman" w:cs="Times New Roman"/>
                <w:sz w:val="18"/>
                <w:szCs w:val="18"/>
              </w:rPr>
              <w:t xml:space="preserve"> </w:t>
            </w:r>
            <w:r w:rsidR="0049569D" w:rsidRPr="00240ED2">
              <w:rPr>
                <w:rFonts w:ascii="Times New Roman" w:eastAsia="Times New Roman" w:hAnsi="Times New Roman" w:cs="Times New Roman"/>
                <w:sz w:val="18"/>
                <w:szCs w:val="18"/>
              </w:rPr>
              <w:t>annually.</w:t>
            </w:r>
            <w:r w:rsidR="005D25DC" w:rsidRPr="00240ED2">
              <w:rPr>
                <w:rFonts w:ascii="Times New Roman" w:eastAsia="Times New Roman" w:hAnsi="Times New Roman" w:cs="Times New Roman"/>
                <w:sz w:val="18"/>
                <w:szCs w:val="18"/>
              </w:rPr>
              <w:t xml:space="preserve"> </w:t>
            </w:r>
          </w:p>
          <w:p w14:paraId="5A7BAD83" w14:textId="77777777" w:rsidR="005462E3" w:rsidRPr="00240ED2" w:rsidRDefault="005462E3" w:rsidP="00F00C41">
            <w:pPr>
              <w:spacing w:after="0" w:line="240" w:lineRule="auto"/>
              <w:ind w:right="75"/>
              <w:textAlignment w:val="baseline"/>
              <w:rPr>
                <w:rFonts w:ascii="Times New Roman" w:eastAsia="Times New Roman" w:hAnsi="Times New Roman" w:cs="Times New Roman"/>
                <w:sz w:val="18"/>
                <w:szCs w:val="18"/>
              </w:rPr>
            </w:pPr>
          </w:p>
          <w:p w14:paraId="52A95D9A" w14:textId="75DDCB6B" w:rsidR="00C5190A" w:rsidRPr="00240ED2" w:rsidRDefault="00F00C41" w:rsidP="00F00C41">
            <w:pPr>
              <w:spacing w:after="0" w:line="240" w:lineRule="auto"/>
              <w:ind w:right="75"/>
              <w:textAlignment w:val="baseline"/>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The emissions estimates from EDGAR used in this </w:t>
            </w:r>
            <w:r w:rsidR="00D121AA" w:rsidRPr="00240ED2">
              <w:rPr>
                <w:rFonts w:ascii="Times New Roman" w:eastAsia="Times New Roman" w:hAnsi="Times New Roman" w:cs="Times New Roman"/>
                <w:sz w:val="18"/>
                <w:szCs w:val="18"/>
              </w:rPr>
              <w:t xml:space="preserve">new </w:t>
            </w:r>
            <w:r w:rsidRPr="00240ED2">
              <w:rPr>
                <w:rFonts w:ascii="Times New Roman" w:eastAsia="Times New Roman" w:hAnsi="Times New Roman" w:cs="Times New Roman"/>
                <w:sz w:val="18"/>
                <w:szCs w:val="18"/>
              </w:rPr>
              <w:t xml:space="preserve">indicator are </w:t>
            </w:r>
            <w:r w:rsidR="00E90D90" w:rsidRPr="00240ED2">
              <w:rPr>
                <w:rFonts w:ascii="Times New Roman" w:eastAsia="Times New Roman" w:hAnsi="Times New Roman" w:cs="Times New Roman"/>
                <w:sz w:val="18"/>
                <w:szCs w:val="18"/>
              </w:rPr>
              <w:t xml:space="preserve">also </w:t>
            </w:r>
            <w:r w:rsidRPr="00240ED2">
              <w:rPr>
                <w:rFonts w:ascii="Times New Roman" w:eastAsia="Times New Roman" w:hAnsi="Times New Roman" w:cs="Times New Roman"/>
                <w:sz w:val="18"/>
                <w:szCs w:val="18"/>
              </w:rPr>
              <w:t>used in numerous reputable publications. The European Commission produces an annual report, GHG Emissions of All World Countries, which summarizes these data and describes notable updates from prior years. The United Nations Environment Program (UNEP)’s Emissions Gap Report, also uses EDGAR data to both describe emissions trends and relate them to global progress towards the Paris Agreement’s GHG emissions reductions targets and countries’ Nationally Determined Contributions (NDCs) and Long-term Strategies (LTS). Additionally, EDGAR data are used in the IPCC’s 6th Assessment Report, Working Group 3, Mitigation of Climate Change, serving as the definitive scientific assessment of the state of global GHG emissions.</w:t>
            </w:r>
          </w:p>
          <w:p w14:paraId="4078A46A" w14:textId="77777777" w:rsidR="002C252B" w:rsidRPr="00240ED2" w:rsidRDefault="002C252B" w:rsidP="00F00C41">
            <w:pPr>
              <w:spacing w:after="0" w:line="240" w:lineRule="auto"/>
              <w:ind w:right="75"/>
              <w:textAlignment w:val="baseline"/>
              <w:rPr>
                <w:rFonts w:ascii="Times New Roman" w:eastAsia="Times New Roman" w:hAnsi="Times New Roman" w:cs="Times New Roman"/>
                <w:sz w:val="18"/>
                <w:szCs w:val="18"/>
              </w:rPr>
            </w:pPr>
          </w:p>
          <w:p w14:paraId="2F1BD170" w14:textId="1F8A4EF4" w:rsidR="002C252B" w:rsidRPr="00240ED2" w:rsidRDefault="002C252B" w:rsidP="002C252B">
            <w:pPr>
              <w:rPr>
                <w:rFonts w:ascii="Times New Roman" w:eastAsia="Times New Roman" w:hAnsi="Times New Roman" w:cs="Times New Roman"/>
                <w:sz w:val="18"/>
                <w:szCs w:val="18"/>
              </w:rPr>
            </w:pPr>
            <w:r w:rsidRPr="00240ED2">
              <w:rPr>
                <w:rFonts w:ascii="Times New Roman" w:eastAsia="Times New Roman" w:hAnsi="Times New Roman" w:cs="Times New Roman"/>
                <w:sz w:val="18"/>
                <w:szCs w:val="18"/>
              </w:rPr>
              <w:t xml:space="preserve">The underlying sources used by </w:t>
            </w:r>
            <w:r w:rsidR="008F694F">
              <w:rPr>
                <w:rFonts w:ascii="Times New Roman" w:eastAsia="Times New Roman" w:hAnsi="Times New Roman" w:cs="Times New Roman"/>
                <w:sz w:val="18"/>
                <w:szCs w:val="18"/>
              </w:rPr>
              <w:t>EDGAR_2</w:t>
            </w:r>
            <w:r w:rsidR="0056023D" w:rsidRPr="008F694F">
              <w:rPr>
                <w:rFonts w:ascii="Times New Roman" w:eastAsia="Times New Roman" w:hAnsi="Times New Roman" w:cs="Times New Roman"/>
                <w:sz w:val="18"/>
                <w:szCs w:val="18"/>
              </w:rPr>
              <w:t xml:space="preserve">024_GHG </w:t>
            </w:r>
            <w:r w:rsidRPr="008F694F">
              <w:rPr>
                <w:rFonts w:ascii="Times New Roman" w:eastAsia="Times New Roman" w:hAnsi="Times New Roman" w:cs="Times New Roman"/>
                <w:sz w:val="18"/>
                <w:szCs w:val="18"/>
              </w:rPr>
              <w:t>and</w:t>
            </w:r>
            <w:r w:rsidR="0056023D" w:rsidRPr="008F694F">
              <w:rPr>
                <w:rFonts w:ascii="Times New Roman" w:eastAsia="Times New Roman" w:hAnsi="Times New Roman" w:cs="Times New Roman"/>
                <w:sz w:val="18"/>
                <w:szCs w:val="18"/>
              </w:rPr>
              <w:t xml:space="preserve"> EU Forest Observatory</w:t>
            </w:r>
            <w:r w:rsidRPr="008F694F">
              <w:rPr>
                <w:rFonts w:ascii="Times New Roman" w:eastAsia="Times New Roman" w:hAnsi="Times New Roman" w:cs="Times New Roman"/>
                <w:sz w:val="18"/>
                <w:szCs w:val="18"/>
              </w:rPr>
              <w:t>’s</w:t>
            </w:r>
            <w:r w:rsidRPr="00240ED2">
              <w:rPr>
                <w:rFonts w:ascii="Times New Roman" w:eastAsia="Times New Roman" w:hAnsi="Times New Roman" w:cs="Times New Roman"/>
                <w:sz w:val="18"/>
                <w:szCs w:val="18"/>
              </w:rPr>
              <w:t xml:space="preserve"> LULUCF estimates are presented in the following table.</w:t>
            </w:r>
          </w:p>
          <w:tbl>
            <w:tblPr>
              <w:tblStyle w:val="TableGrid"/>
              <w:tblW w:w="0" w:type="auto"/>
              <w:tblLayout w:type="fixed"/>
              <w:tblLook w:val="04A0" w:firstRow="1" w:lastRow="0" w:firstColumn="1" w:lastColumn="0" w:noHBand="0" w:noVBand="1"/>
            </w:tblPr>
            <w:tblGrid>
              <w:gridCol w:w="1465"/>
              <w:gridCol w:w="3568"/>
              <w:gridCol w:w="2528"/>
            </w:tblGrid>
            <w:tr w:rsidR="002C252B" w:rsidRPr="00B10B58" w14:paraId="7E81C063" w14:textId="77777777" w:rsidTr="00D92EDD">
              <w:tc>
                <w:tcPr>
                  <w:tcW w:w="1465" w:type="dxa"/>
                </w:tcPr>
                <w:p w14:paraId="593E8363" w14:textId="77777777" w:rsidR="002C252B" w:rsidRPr="00D701AE" w:rsidRDefault="002C252B" w:rsidP="002C252B">
                  <w:pPr>
                    <w:rPr>
                      <w:rFonts w:cstheme="minorHAnsi"/>
                      <w:b/>
                      <w:sz w:val="18"/>
                      <w:szCs w:val="18"/>
                    </w:rPr>
                  </w:pPr>
                  <w:r w:rsidRPr="00D701AE">
                    <w:rPr>
                      <w:rFonts w:cstheme="minorHAnsi"/>
                      <w:b/>
                      <w:sz w:val="18"/>
                      <w:szCs w:val="18"/>
                    </w:rPr>
                    <w:t>Sector</w:t>
                  </w:r>
                </w:p>
              </w:tc>
              <w:tc>
                <w:tcPr>
                  <w:tcW w:w="3568" w:type="dxa"/>
                </w:tcPr>
                <w:p w14:paraId="4E4354AA" w14:textId="77777777" w:rsidR="002C252B" w:rsidRPr="00D701AE" w:rsidRDefault="002C252B" w:rsidP="002C252B">
                  <w:pPr>
                    <w:rPr>
                      <w:rFonts w:cstheme="minorHAnsi"/>
                      <w:b/>
                      <w:sz w:val="18"/>
                      <w:szCs w:val="18"/>
                    </w:rPr>
                  </w:pPr>
                  <w:r w:rsidRPr="00D701AE">
                    <w:rPr>
                      <w:rFonts w:cstheme="minorHAnsi"/>
                      <w:b/>
                      <w:sz w:val="18"/>
                      <w:szCs w:val="18"/>
                    </w:rPr>
                    <w:t xml:space="preserve">Source </w:t>
                  </w:r>
                </w:p>
              </w:tc>
              <w:tc>
                <w:tcPr>
                  <w:tcW w:w="2528" w:type="dxa"/>
                </w:tcPr>
                <w:p w14:paraId="0813E696" w14:textId="77777777" w:rsidR="002C252B" w:rsidRPr="00D701AE" w:rsidRDefault="002C252B" w:rsidP="002C252B">
                  <w:pPr>
                    <w:rPr>
                      <w:rFonts w:cstheme="minorHAnsi"/>
                      <w:b/>
                      <w:sz w:val="18"/>
                      <w:szCs w:val="18"/>
                    </w:rPr>
                  </w:pPr>
                  <w:r w:rsidRPr="00D701AE">
                    <w:rPr>
                      <w:rFonts w:cstheme="minorHAnsi"/>
                      <w:b/>
                      <w:sz w:val="18"/>
                      <w:szCs w:val="18"/>
                    </w:rPr>
                    <w:t>Notes</w:t>
                  </w:r>
                </w:p>
              </w:tc>
            </w:tr>
            <w:tr w:rsidR="002C252B" w14:paraId="2EEED55C" w14:textId="77777777" w:rsidTr="00D92EDD">
              <w:tc>
                <w:tcPr>
                  <w:tcW w:w="1465" w:type="dxa"/>
                  <w:vMerge w:val="restart"/>
                  <w:shd w:val="clear" w:color="auto" w:fill="D9E2F3" w:themeFill="accent1" w:themeFillTint="33"/>
                </w:tcPr>
                <w:p w14:paraId="52BE8322" w14:textId="77777777" w:rsidR="002C252B" w:rsidRPr="00D701AE" w:rsidRDefault="002C252B" w:rsidP="002C252B">
                  <w:pPr>
                    <w:rPr>
                      <w:rFonts w:cstheme="minorHAnsi"/>
                      <w:sz w:val="18"/>
                      <w:szCs w:val="18"/>
                    </w:rPr>
                  </w:pPr>
                  <w:r w:rsidRPr="00D701AE">
                    <w:rPr>
                      <w:rFonts w:cstheme="minorHAnsi"/>
                      <w:sz w:val="18"/>
                      <w:szCs w:val="18"/>
                    </w:rPr>
                    <w:t>Energy</w:t>
                  </w:r>
                </w:p>
              </w:tc>
              <w:tc>
                <w:tcPr>
                  <w:tcW w:w="3568" w:type="dxa"/>
                  <w:shd w:val="clear" w:color="auto" w:fill="D9E2F3" w:themeFill="accent1" w:themeFillTint="33"/>
                </w:tcPr>
                <w:p w14:paraId="71B9A237" w14:textId="77777777" w:rsidR="002C252B" w:rsidRPr="00D701AE" w:rsidRDefault="002C252B" w:rsidP="002C252B">
                  <w:pPr>
                    <w:rPr>
                      <w:rFonts w:cstheme="minorHAnsi"/>
                      <w:sz w:val="18"/>
                      <w:szCs w:val="18"/>
                    </w:rPr>
                  </w:pPr>
                  <w:r w:rsidRPr="00D701AE">
                    <w:rPr>
                      <w:rFonts w:cstheme="minorHAnsi"/>
                      <w:sz w:val="18"/>
                      <w:szCs w:val="18"/>
                    </w:rPr>
                    <w:t>IEA, Greenhouse Gas Emissions from Energy, 2022 (https://www.iea.org/data-and-statistics)</w:t>
                  </w:r>
                </w:p>
                <w:p w14:paraId="79910346" w14:textId="77777777" w:rsidR="002C252B" w:rsidRPr="00D701AE" w:rsidRDefault="002C252B" w:rsidP="002C252B">
                  <w:pPr>
                    <w:pStyle w:val="ListParagraph"/>
                    <w:ind w:left="287"/>
                    <w:rPr>
                      <w:rFonts w:cstheme="minorHAnsi"/>
                      <w:sz w:val="18"/>
                      <w:szCs w:val="18"/>
                    </w:rPr>
                  </w:pPr>
                </w:p>
              </w:tc>
              <w:tc>
                <w:tcPr>
                  <w:tcW w:w="2528" w:type="dxa"/>
                  <w:shd w:val="clear" w:color="auto" w:fill="D9E2F3" w:themeFill="accent1" w:themeFillTint="33"/>
                </w:tcPr>
                <w:p w14:paraId="4B3798D4" w14:textId="77777777" w:rsidR="002C252B" w:rsidRPr="00D701AE" w:rsidRDefault="002C252B" w:rsidP="002C252B">
                  <w:pPr>
                    <w:rPr>
                      <w:rFonts w:cstheme="minorHAnsi"/>
                      <w:sz w:val="18"/>
                      <w:szCs w:val="18"/>
                    </w:rPr>
                  </w:pPr>
                  <w:r w:rsidRPr="00D701AE">
                    <w:rPr>
                      <w:rFonts w:cstheme="minorHAnsi"/>
                      <w:sz w:val="18"/>
                      <w:szCs w:val="18"/>
                    </w:rPr>
                    <w:t>Combustion sources with modifications by the Joint Research Centre (JRC) of the European Commission</w:t>
                  </w:r>
                </w:p>
              </w:tc>
            </w:tr>
            <w:tr w:rsidR="002C252B" w14:paraId="5613011C" w14:textId="77777777" w:rsidTr="00D92EDD">
              <w:tc>
                <w:tcPr>
                  <w:tcW w:w="1465" w:type="dxa"/>
                  <w:vMerge/>
                </w:tcPr>
                <w:p w14:paraId="1B7BE3D2"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7ADFA802" w14:textId="77777777" w:rsidR="002C252B" w:rsidRPr="00D701AE" w:rsidRDefault="002C252B" w:rsidP="002C252B">
                  <w:pPr>
                    <w:rPr>
                      <w:rFonts w:cstheme="minorHAnsi"/>
                      <w:sz w:val="18"/>
                      <w:szCs w:val="18"/>
                    </w:rPr>
                  </w:pPr>
                  <w:r w:rsidRPr="00D701AE">
                    <w:rPr>
                      <w:rFonts w:cstheme="minorHAnsi"/>
                      <w:sz w:val="18"/>
                      <w:szCs w:val="18"/>
                    </w:rPr>
                    <w:t>Energy Institute, 2023 Statistical Review of World Energy (https://www.energyinst.org/statistical-review)</w:t>
                  </w:r>
                </w:p>
              </w:tc>
              <w:tc>
                <w:tcPr>
                  <w:tcW w:w="2528" w:type="dxa"/>
                  <w:shd w:val="clear" w:color="auto" w:fill="D9E2F3" w:themeFill="accent1" w:themeFillTint="33"/>
                </w:tcPr>
                <w:p w14:paraId="713D41D2"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Fuel oil regional consumption,</w:t>
                  </w:r>
                  <w:r w:rsidRPr="00D701AE">
                    <w:rPr>
                      <w:rFonts w:cstheme="minorHAnsi"/>
                      <w:sz w:val="18"/>
                      <w:szCs w:val="18"/>
                    </w:rPr>
                    <w:t xml:space="preserve"> last access April 2023</w:t>
                  </w:r>
                </w:p>
              </w:tc>
            </w:tr>
            <w:tr w:rsidR="002C252B" w14:paraId="4AB60867" w14:textId="77777777" w:rsidTr="00D92EDD">
              <w:tc>
                <w:tcPr>
                  <w:tcW w:w="1465" w:type="dxa"/>
                  <w:vMerge/>
                </w:tcPr>
                <w:p w14:paraId="321E77B3"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55E2D06A" w14:textId="77777777" w:rsidR="002C252B" w:rsidRPr="00D701AE" w:rsidRDefault="002C252B" w:rsidP="002C252B">
                  <w:pPr>
                    <w:rPr>
                      <w:rFonts w:cstheme="minorHAnsi"/>
                      <w:sz w:val="18"/>
                      <w:szCs w:val="18"/>
                    </w:rPr>
                  </w:pPr>
                  <w:r w:rsidRPr="00D701AE">
                    <w:rPr>
                      <w:rFonts w:cstheme="minorHAnsi"/>
                      <w:sz w:val="18"/>
                      <w:szCs w:val="18"/>
                    </w:rPr>
                    <w:t>IEA World Energy Balances 2022 Edition (https://www.iea.org/data-and-statistics/data-product/world-energy-balances)</w:t>
                  </w:r>
                </w:p>
              </w:tc>
              <w:tc>
                <w:tcPr>
                  <w:tcW w:w="2528" w:type="dxa"/>
                  <w:shd w:val="clear" w:color="auto" w:fill="D9E2F3" w:themeFill="accent1" w:themeFillTint="33"/>
                </w:tcPr>
                <w:p w14:paraId="796249CC" w14:textId="77777777" w:rsidR="002C252B" w:rsidRPr="00D701AE" w:rsidRDefault="002C252B" w:rsidP="002C252B">
                  <w:pPr>
                    <w:rPr>
                      <w:rFonts w:cstheme="minorHAnsi"/>
                      <w:sz w:val="18"/>
                      <w:szCs w:val="18"/>
                    </w:rPr>
                  </w:pPr>
                  <w:r w:rsidRPr="00D701AE">
                    <w:rPr>
                      <w:rFonts w:cstheme="minorHAnsi"/>
                      <w:sz w:val="18"/>
                      <w:szCs w:val="18"/>
                    </w:rPr>
                    <w:t>Combustion sources emissions for CH</w:t>
                  </w:r>
                  <w:r w:rsidRPr="00D701AE">
                    <w:rPr>
                      <w:rFonts w:cstheme="minorHAnsi"/>
                      <w:sz w:val="18"/>
                      <w:szCs w:val="18"/>
                      <w:vertAlign w:val="subscript"/>
                    </w:rPr>
                    <w:t>4</w:t>
                  </w:r>
                  <w:r w:rsidRPr="00D701AE">
                    <w:rPr>
                      <w:rFonts w:cstheme="minorHAnsi"/>
                      <w:sz w:val="18"/>
                      <w:szCs w:val="18"/>
                    </w:rPr>
                    <w:t xml:space="preserve"> and N</w:t>
                  </w:r>
                  <w:r w:rsidRPr="00D701AE">
                    <w:rPr>
                      <w:rFonts w:cstheme="minorHAnsi"/>
                      <w:sz w:val="18"/>
                      <w:szCs w:val="18"/>
                      <w:vertAlign w:val="subscript"/>
                    </w:rPr>
                    <w:t>2</w:t>
                  </w:r>
                  <w:r w:rsidRPr="00D701AE">
                    <w:rPr>
                      <w:rFonts w:cstheme="minorHAnsi"/>
                      <w:sz w:val="18"/>
                      <w:szCs w:val="18"/>
                    </w:rPr>
                    <w:t>O</w:t>
                  </w:r>
                </w:p>
              </w:tc>
            </w:tr>
            <w:tr w:rsidR="002C252B" w14:paraId="4D571C94" w14:textId="77777777" w:rsidTr="00D92EDD">
              <w:tc>
                <w:tcPr>
                  <w:tcW w:w="1465" w:type="dxa"/>
                  <w:vMerge/>
                </w:tcPr>
                <w:p w14:paraId="446D2378"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29F69A72" w14:textId="77777777" w:rsidR="002C252B" w:rsidRPr="00D701AE" w:rsidRDefault="002C252B" w:rsidP="002C252B">
                  <w:pPr>
                    <w:rPr>
                      <w:rFonts w:cstheme="minorHAnsi"/>
                      <w:sz w:val="18"/>
                      <w:szCs w:val="18"/>
                    </w:rPr>
                  </w:pPr>
                  <w:r w:rsidRPr="00D701AE">
                    <w:rPr>
                      <w:rFonts w:cstheme="minorHAnsi"/>
                      <w:sz w:val="18"/>
                      <w:szCs w:val="18"/>
                    </w:rPr>
                    <w:t>International Air Transport Association Statistics, 2023 (https://www.iata.org/en/iata-repository/pressroom/fact-sheets/industry-statistics)</w:t>
                  </w:r>
                </w:p>
              </w:tc>
              <w:tc>
                <w:tcPr>
                  <w:tcW w:w="2528" w:type="dxa"/>
                  <w:shd w:val="clear" w:color="auto" w:fill="D9E2F3" w:themeFill="accent1" w:themeFillTint="33"/>
                </w:tcPr>
                <w:p w14:paraId="748FD7CF"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International aviation transport emissions</w:t>
                  </w:r>
                  <w:r w:rsidRPr="00D701AE">
                    <w:rPr>
                      <w:rFonts w:cstheme="minorHAnsi"/>
                      <w:sz w:val="18"/>
                      <w:szCs w:val="18"/>
                    </w:rPr>
                    <w:t>, last access July 2023</w:t>
                  </w:r>
                </w:p>
              </w:tc>
            </w:tr>
            <w:tr w:rsidR="002C252B" w14:paraId="68D44BF7" w14:textId="77777777" w:rsidTr="00D92EDD">
              <w:tc>
                <w:tcPr>
                  <w:tcW w:w="1465" w:type="dxa"/>
                  <w:vMerge/>
                </w:tcPr>
                <w:p w14:paraId="21F047B0"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19FAF053" w14:textId="77777777" w:rsidR="002C252B" w:rsidRPr="00D701AE" w:rsidRDefault="002C252B" w:rsidP="002C252B">
                  <w:pPr>
                    <w:rPr>
                      <w:rFonts w:cstheme="minorHAnsi"/>
                      <w:sz w:val="18"/>
                      <w:szCs w:val="18"/>
                    </w:rPr>
                  </w:pPr>
                  <w:hyperlink r:id="rId13" w:history="1">
                    <w:r w:rsidRPr="00D701AE">
                      <w:rPr>
                        <w:rFonts w:cstheme="minorHAnsi"/>
                        <w:sz w:val="18"/>
                        <w:szCs w:val="18"/>
                      </w:rPr>
                      <w:t>FAOSTAT</w:t>
                    </w:r>
                  </w:hyperlink>
                  <w:r w:rsidRPr="00D701AE">
                    <w:rPr>
                      <w:rFonts w:cstheme="minorHAnsi"/>
                      <w:sz w:val="18"/>
                      <w:szCs w:val="18"/>
                    </w:rPr>
                    <w:t>, 2023 (https://www.fao.org/faostat)</w:t>
                  </w:r>
                </w:p>
              </w:tc>
              <w:tc>
                <w:tcPr>
                  <w:tcW w:w="2528" w:type="dxa"/>
                  <w:shd w:val="clear" w:color="auto" w:fill="D9E2F3" w:themeFill="accent1" w:themeFillTint="33"/>
                </w:tcPr>
                <w:p w14:paraId="4AE25B45" w14:textId="77777777" w:rsidR="002C252B" w:rsidRPr="00D701AE" w:rsidRDefault="002C252B" w:rsidP="002C252B">
                  <w:pPr>
                    <w:rPr>
                      <w:rFonts w:cstheme="minorHAnsi"/>
                      <w:sz w:val="18"/>
                      <w:szCs w:val="18"/>
                    </w:rPr>
                  </w:pPr>
                  <w:r w:rsidRPr="00D701AE">
                    <w:rPr>
                      <w:rFonts w:cstheme="minorHAnsi"/>
                      <w:sz w:val="18"/>
                      <w:szCs w:val="18"/>
                    </w:rPr>
                    <w:t>Biofuel combustion related emissions, last access April 2023</w:t>
                  </w:r>
                </w:p>
              </w:tc>
            </w:tr>
            <w:tr w:rsidR="002C252B" w14:paraId="777A4582" w14:textId="77777777" w:rsidTr="00D92EDD">
              <w:tc>
                <w:tcPr>
                  <w:tcW w:w="1465" w:type="dxa"/>
                  <w:vMerge/>
                </w:tcPr>
                <w:p w14:paraId="33734422"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68099A6D"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GGFR/NOAA, 2023 (</w:t>
                  </w:r>
                  <w:r w:rsidRPr="00D701AE">
                    <w:rPr>
                      <w:rFonts w:cstheme="minorHAnsi"/>
                      <w:color w:val="0000FF"/>
                      <w:sz w:val="18"/>
                      <w:szCs w:val="18"/>
                      <w14:ligatures w14:val="standardContextual"/>
                    </w:rPr>
                    <w:t>https://www.worldbank.org/en/programs/gasflaringreduction/global-flaring-data#indicators-by-country</w:t>
                  </w:r>
                  <w:r w:rsidRPr="00D701AE">
                    <w:rPr>
                      <w:rFonts w:cstheme="minorHAnsi"/>
                      <w:sz w:val="18"/>
                      <w:szCs w:val="18"/>
                      <w14:ligatures w14:val="standardContextual"/>
                    </w:rPr>
                    <w:t>)</w:t>
                  </w:r>
                </w:p>
              </w:tc>
              <w:tc>
                <w:tcPr>
                  <w:tcW w:w="2528" w:type="dxa"/>
                  <w:shd w:val="clear" w:color="auto" w:fill="D9E2F3" w:themeFill="accent1" w:themeFillTint="33"/>
                </w:tcPr>
                <w:p w14:paraId="53762BC7" w14:textId="77777777" w:rsidR="002C252B" w:rsidRPr="00D701AE" w:rsidRDefault="002C252B" w:rsidP="002C252B">
                  <w:pPr>
                    <w:rPr>
                      <w:rFonts w:cstheme="minorHAnsi"/>
                      <w:sz w:val="18"/>
                      <w:szCs w:val="18"/>
                    </w:rPr>
                  </w:pPr>
                  <w:r w:rsidRPr="00D701AE">
                    <w:rPr>
                      <w:rFonts w:cstheme="minorHAnsi"/>
                      <w:sz w:val="18"/>
                      <w:szCs w:val="18"/>
                    </w:rPr>
                    <w:t>Gas consumption for flaring; last access June 2023</w:t>
                  </w:r>
                </w:p>
              </w:tc>
            </w:tr>
            <w:tr w:rsidR="002C252B" w14:paraId="01CDA4AD" w14:textId="77777777" w:rsidTr="00D92EDD">
              <w:tc>
                <w:tcPr>
                  <w:tcW w:w="1465" w:type="dxa"/>
                  <w:vMerge/>
                </w:tcPr>
                <w:p w14:paraId="28C992B9"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580E9ED8"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UNFCCC, GHG Review Tools, 2023</w:t>
                  </w:r>
                  <w:r w:rsidRPr="00D701AE" w:rsidDel="00F86E82">
                    <w:rPr>
                      <w:rFonts w:cstheme="minorHAnsi"/>
                      <w:sz w:val="18"/>
                      <w:szCs w:val="18"/>
                      <w14:ligatures w14:val="standardContextual"/>
                    </w:rPr>
                    <w:t xml:space="preserve"> (</w:t>
                  </w:r>
                  <w:r w:rsidRPr="00D701AE">
                    <w:rPr>
                      <w:rFonts w:cstheme="minorHAnsi"/>
                      <w:color w:val="0000FF"/>
                      <w:sz w:val="18"/>
                      <w:szCs w:val="18"/>
                      <w14:ligatures w14:val="standardContextual"/>
                    </w:rPr>
                    <w:t>https://rt.unfccc.int/locator</w:t>
                  </w:r>
                  <w:r w:rsidRPr="00D701AE">
                    <w:rPr>
                      <w:rFonts w:cstheme="minorHAnsi"/>
                      <w:sz w:val="18"/>
                      <w:szCs w:val="18"/>
                      <w14:ligatures w14:val="standardContextual"/>
                    </w:rPr>
                    <w:t>)</w:t>
                  </w:r>
                </w:p>
              </w:tc>
              <w:tc>
                <w:tcPr>
                  <w:tcW w:w="2528" w:type="dxa"/>
                  <w:shd w:val="clear" w:color="auto" w:fill="D9E2F3" w:themeFill="accent1" w:themeFillTint="33"/>
                </w:tcPr>
                <w:p w14:paraId="43F0A3ED"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CH4 emissions from venting; last access June 2023</w:t>
                  </w:r>
                </w:p>
              </w:tc>
            </w:tr>
            <w:tr w:rsidR="002C252B" w14:paraId="6E23625E" w14:textId="77777777" w:rsidTr="00D92EDD">
              <w:tc>
                <w:tcPr>
                  <w:tcW w:w="1465" w:type="dxa"/>
                  <w:vMerge/>
                </w:tcPr>
                <w:p w14:paraId="493331B3"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4C068A5A"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U.S. EPA</w:t>
                  </w:r>
                  <w:r w:rsidRPr="00D701AE">
                    <w:rPr>
                      <w:rFonts w:cstheme="minorHAnsi"/>
                      <w:sz w:val="18"/>
                      <w:szCs w:val="18"/>
                    </w:rPr>
                    <w:t xml:space="preserve">, </w:t>
                  </w:r>
                  <w:r w:rsidRPr="00D701AE">
                    <w:rPr>
                      <w:rFonts w:cstheme="minorHAnsi"/>
                      <w:sz w:val="18"/>
                      <w:szCs w:val="18"/>
                      <w14:ligatures w14:val="standardContextual"/>
                    </w:rPr>
                    <w:t>Natural Gas and Petroleum Systems in the GHG Inventory: Additional Information on the 1990-2021 GHG</w:t>
                  </w:r>
                </w:p>
                <w:p w14:paraId="31F685DF"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Inventory, </w:t>
                  </w:r>
                  <w:proofErr w:type="gramStart"/>
                  <w:r w:rsidRPr="00D701AE">
                    <w:rPr>
                      <w:rFonts w:cstheme="minorHAnsi"/>
                      <w:sz w:val="18"/>
                      <w:szCs w:val="18"/>
                      <w14:ligatures w14:val="standardContextual"/>
                    </w:rPr>
                    <w:t>2023  (</w:t>
                  </w:r>
                  <w:proofErr w:type="gramEnd"/>
                  <w:r w:rsidRPr="00D701AE">
                    <w:rPr>
                      <w:rFonts w:cstheme="minorHAnsi"/>
                      <w:sz w:val="18"/>
                      <w:szCs w:val="18"/>
                      <w14:ligatures w14:val="standardContextual"/>
                    </w:rPr>
                    <w:t>https://www.epa.gov/ghgemissions/natural-gas-and-petroleum-systemsghg-</w:t>
                  </w:r>
                </w:p>
                <w:p w14:paraId="597A9A6C"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inventory-additional-information-1990-2021-ghg)</w:t>
                  </w:r>
                </w:p>
              </w:tc>
              <w:tc>
                <w:tcPr>
                  <w:tcW w:w="2528" w:type="dxa"/>
                  <w:shd w:val="clear" w:color="auto" w:fill="D9E2F3" w:themeFill="accent1" w:themeFillTint="33"/>
                </w:tcPr>
                <w:p w14:paraId="4F82F5FA"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CH4 emissions from venting; last access July 2023</w:t>
                  </w:r>
                </w:p>
              </w:tc>
            </w:tr>
            <w:tr w:rsidR="002C252B" w14:paraId="424542CD" w14:textId="77777777" w:rsidTr="00D92EDD">
              <w:tc>
                <w:tcPr>
                  <w:tcW w:w="1465" w:type="dxa"/>
                  <w:vMerge/>
                </w:tcPr>
                <w:p w14:paraId="5E81953A"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2C46AD42"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Höglund-Isaksson, L., Bottom-up simulations of methane and ethane emissions from global oil and gas systems</w:t>
                  </w:r>
                </w:p>
                <w:p w14:paraId="2E7198FD"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1980 to 2012, Environ. Res. Lett. 12, 024007, 2017</w:t>
                  </w:r>
                  <w:r w:rsidRPr="00D701AE" w:rsidDel="00053BB4">
                    <w:rPr>
                      <w:rFonts w:cstheme="minorHAnsi"/>
                      <w:sz w:val="18"/>
                      <w:szCs w:val="18"/>
                      <w14:ligatures w14:val="standardContextual"/>
                    </w:rPr>
                    <w:t xml:space="preserve"> (</w:t>
                  </w:r>
                  <w:r w:rsidRPr="00D701AE">
                    <w:rPr>
                      <w:rFonts w:cstheme="minorHAnsi"/>
                      <w:color w:val="0000FF"/>
                      <w:sz w:val="18"/>
                      <w:szCs w:val="18"/>
                      <w14:ligatures w14:val="standardContextual"/>
                    </w:rPr>
                    <w:t>https://doi.org/10.1088/1748-9326/aa583e</w:t>
                  </w:r>
                  <w:r w:rsidRPr="00D701AE">
                    <w:rPr>
                      <w:rFonts w:cstheme="minorHAnsi"/>
                      <w:sz w:val="18"/>
                      <w:szCs w:val="18"/>
                      <w14:ligatures w14:val="standardContextual"/>
                    </w:rPr>
                    <w:t>)</w:t>
                  </w:r>
                </w:p>
              </w:tc>
              <w:tc>
                <w:tcPr>
                  <w:tcW w:w="2528" w:type="dxa"/>
                  <w:shd w:val="clear" w:color="auto" w:fill="D9E2F3" w:themeFill="accent1" w:themeFillTint="33"/>
                </w:tcPr>
                <w:p w14:paraId="5706FDD9"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CH4 emissions from venting</w:t>
                  </w:r>
                </w:p>
              </w:tc>
            </w:tr>
            <w:tr w:rsidR="002C252B" w14:paraId="57635722" w14:textId="77777777" w:rsidTr="00D92EDD">
              <w:tc>
                <w:tcPr>
                  <w:tcW w:w="1465" w:type="dxa"/>
                  <w:vMerge/>
                </w:tcPr>
                <w:p w14:paraId="76208B8F"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5996EC07"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U.S. Energy Information Administration, 2023 (https://www.eia.gov/opendata)</w:t>
                  </w:r>
                </w:p>
              </w:tc>
              <w:tc>
                <w:tcPr>
                  <w:tcW w:w="2528" w:type="dxa"/>
                  <w:shd w:val="clear" w:color="auto" w:fill="D9E2F3" w:themeFill="accent1" w:themeFillTint="33"/>
                </w:tcPr>
                <w:p w14:paraId="0DE9A4C8" w14:textId="77777777" w:rsidR="002C252B" w:rsidRPr="00D701AE" w:rsidRDefault="002C252B" w:rsidP="002C252B">
                  <w:pPr>
                    <w:rPr>
                      <w:rFonts w:cstheme="minorHAnsi"/>
                      <w:sz w:val="18"/>
                      <w:szCs w:val="18"/>
                    </w:rPr>
                  </w:pPr>
                  <w:r w:rsidRPr="00D701AE">
                    <w:rPr>
                      <w:rFonts w:cstheme="minorHAnsi"/>
                      <w:sz w:val="18"/>
                      <w:szCs w:val="18"/>
                    </w:rPr>
                    <w:t>For the countries belonging to “Other Africa”, “Other Non-OECD Asia” and “Other Non-OECD Americas; last access May 2023</w:t>
                  </w:r>
                </w:p>
              </w:tc>
            </w:tr>
            <w:tr w:rsidR="002C252B" w14:paraId="331868B5" w14:textId="77777777" w:rsidTr="00D92EDD">
              <w:tc>
                <w:tcPr>
                  <w:tcW w:w="1465" w:type="dxa"/>
                  <w:vMerge/>
                </w:tcPr>
                <w:p w14:paraId="1912A253"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7AE9FE00" w14:textId="77777777" w:rsidR="002C252B" w:rsidRPr="00D701AE" w:rsidRDefault="002C252B" w:rsidP="002C252B">
                  <w:pPr>
                    <w:rPr>
                      <w:rFonts w:cstheme="minorHAnsi"/>
                      <w:sz w:val="18"/>
                      <w:szCs w:val="18"/>
                      <w14:ligatures w14:val="standardContextual"/>
                    </w:rPr>
                  </w:pPr>
                  <w:r w:rsidRPr="00D701AE">
                    <w:rPr>
                      <w:rFonts w:cstheme="minorHAnsi"/>
                      <w:sz w:val="18"/>
                      <w:szCs w:val="18"/>
                    </w:rPr>
                    <w:t xml:space="preserve">World Steel Association, Steel Statistical Yearbook 2022 </w:t>
                  </w:r>
                  <w:r w:rsidRPr="00D701AE">
                    <w:rPr>
                      <w:rFonts w:cstheme="minorHAnsi"/>
                      <w:sz w:val="18"/>
                      <w:szCs w:val="18"/>
                      <w14:ligatures w14:val="standardContextual"/>
                    </w:rPr>
                    <w:t>(https://worldsteel.org/wpcontent/</w:t>
                  </w:r>
                </w:p>
                <w:p w14:paraId="7DC23A83"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uploads/Steel-Statistical-Yearbook-2022.pdf)</w:t>
                  </w:r>
                </w:p>
              </w:tc>
              <w:tc>
                <w:tcPr>
                  <w:tcW w:w="2528" w:type="dxa"/>
                  <w:shd w:val="clear" w:color="auto" w:fill="D9E2F3" w:themeFill="accent1" w:themeFillTint="33"/>
                </w:tcPr>
                <w:p w14:paraId="1F4B9ED1" w14:textId="77777777" w:rsidR="002C252B" w:rsidRPr="00D701AE" w:rsidRDefault="002C252B" w:rsidP="002C252B">
                  <w:pPr>
                    <w:rPr>
                      <w:rFonts w:cstheme="minorHAnsi"/>
                      <w:sz w:val="18"/>
                      <w:szCs w:val="18"/>
                    </w:rPr>
                  </w:pPr>
                  <w:r w:rsidRPr="00D701AE">
                    <w:rPr>
                      <w:rFonts w:cstheme="minorHAnsi"/>
                      <w:sz w:val="18"/>
                      <w:szCs w:val="18"/>
                    </w:rPr>
                    <w:t xml:space="preserve">Fugitive emissions </w:t>
                  </w:r>
                </w:p>
              </w:tc>
            </w:tr>
            <w:tr w:rsidR="002C252B" w14:paraId="043C2582" w14:textId="77777777" w:rsidTr="00D92EDD">
              <w:tc>
                <w:tcPr>
                  <w:tcW w:w="1465" w:type="dxa"/>
                  <w:vMerge/>
                </w:tcPr>
                <w:p w14:paraId="4A75A4BF"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1E3E07AF"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GGFR/NOAA, 2012-22022 data for gas consumption for flaring, 2023 (https://www.worldbank.org/en/programs/gasflaringreduction/global-flaring-data#indicators-by-country)</w:t>
                  </w:r>
                </w:p>
              </w:tc>
              <w:tc>
                <w:tcPr>
                  <w:tcW w:w="2528" w:type="dxa"/>
                  <w:shd w:val="clear" w:color="auto" w:fill="D9E2F3" w:themeFill="accent1" w:themeFillTint="33"/>
                </w:tcPr>
                <w:p w14:paraId="4CB98550" w14:textId="77777777" w:rsidR="002C252B" w:rsidRPr="00D701AE" w:rsidRDefault="002C252B" w:rsidP="002C252B">
                  <w:pPr>
                    <w:rPr>
                      <w:rFonts w:cstheme="minorHAnsi"/>
                      <w:sz w:val="18"/>
                      <w:szCs w:val="18"/>
                    </w:rPr>
                  </w:pPr>
                  <w:r w:rsidRPr="00D701AE">
                    <w:rPr>
                      <w:rFonts w:cstheme="minorHAnsi"/>
                      <w:sz w:val="18"/>
                      <w:szCs w:val="18"/>
                    </w:rPr>
                    <w:t>CO2 flared at oil and gas extraction facilities for 1994 onwards; last access June 2023</w:t>
                  </w:r>
                </w:p>
              </w:tc>
            </w:tr>
            <w:tr w:rsidR="002C252B" w14:paraId="2F942CDB" w14:textId="77777777" w:rsidTr="00D92EDD">
              <w:tc>
                <w:tcPr>
                  <w:tcW w:w="1465" w:type="dxa"/>
                  <w:vMerge w:val="restart"/>
                </w:tcPr>
                <w:p w14:paraId="12779EBB" w14:textId="77777777" w:rsidR="002C252B" w:rsidRPr="00D701AE" w:rsidRDefault="002C252B" w:rsidP="002C252B">
                  <w:pPr>
                    <w:rPr>
                      <w:rFonts w:cstheme="minorHAnsi"/>
                      <w:sz w:val="18"/>
                      <w:szCs w:val="18"/>
                    </w:rPr>
                  </w:pPr>
                  <w:r w:rsidRPr="00D701AE">
                    <w:rPr>
                      <w:rFonts w:cstheme="minorHAnsi"/>
                      <w:sz w:val="18"/>
                      <w:szCs w:val="18"/>
                    </w:rPr>
                    <w:t>Industry</w:t>
                  </w:r>
                </w:p>
              </w:tc>
              <w:tc>
                <w:tcPr>
                  <w:tcW w:w="3568" w:type="dxa"/>
                </w:tcPr>
                <w:p w14:paraId="12112FBF" w14:textId="77777777" w:rsidR="002C252B" w:rsidRPr="00D701AE" w:rsidRDefault="002C252B" w:rsidP="002C252B">
                  <w:pPr>
                    <w:rPr>
                      <w:rFonts w:cstheme="minorHAnsi"/>
                      <w:sz w:val="18"/>
                      <w:szCs w:val="18"/>
                      <w14:ligatures w14:val="standardContextual"/>
                    </w:rPr>
                  </w:pPr>
                  <w:r w:rsidRPr="00D701AE">
                    <w:rPr>
                      <w:rFonts w:cstheme="minorHAnsi"/>
                      <w:sz w:val="18"/>
                      <w:szCs w:val="18"/>
                    </w:rPr>
                    <w:t xml:space="preserve">World Steel Association, Steel Statistical Yearbook 2022 </w:t>
                  </w:r>
                  <w:r w:rsidRPr="00D701AE">
                    <w:rPr>
                      <w:rFonts w:cstheme="minorHAnsi"/>
                      <w:sz w:val="18"/>
                      <w:szCs w:val="18"/>
                      <w14:ligatures w14:val="standardContextual"/>
                    </w:rPr>
                    <w:t>(https://worldsteel.org/wpcontent/</w:t>
                  </w:r>
                </w:p>
                <w:p w14:paraId="386174A0"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uploads/Steel-Statistical-Yearbook-2022.pdf)</w:t>
                  </w:r>
                </w:p>
              </w:tc>
              <w:tc>
                <w:tcPr>
                  <w:tcW w:w="2528" w:type="dxa"/>
                </w:tcPr>
                <w:p w14:paraId="0DC3E77C" w14:textId="77777777" w:rsidR="002C252B" w:rsidRPr="00D701AE" w:rsidRDefault="002C252B" w:rsidP="002C252B">
                  <w:pPr>
                    <w:rPr>
                      <w:rFonts w:cstheme="minorHAnsi"/>
                      <w:sz w:val="18"/>
                      <w:szCs w:val="18"/>
                    </w:rPr>
                  </w:pPr>
                  <w:r w:rsidRPr="00D701AE">
                    <w:rPr>
                      <w:rFonts w:cstheme="minorHAnsi"/>
                      <w:sz w:val="18"/>
                      <w:szCs w:val="18"/>
                    </w:rPr>
                    <w:t>Metal industry; non-metallic minerals</w:t>
                  </w:r>
                </w:p>
              </w:tc>
            </w:tr>
            <w:tr w:rsidR="002C252B" w14:paraId="0EE26942" w14:textId="77777777" w:rsidTr="00D92EDD">
              <w:tc>
                <w:tcPr>
                  <w:tcW w:w="1465" w:type="dxa"/>
                  <w:vMerge/>
                </w:tcPr>
                <w:p w14:paraId="628998DC" w14:textId="77777777" w:rsidR="002C252B" w:rsidRPr="00D701AE" w:rsidRDefault="002C252B" w:rsidP="002C252B">
                  <w:pPr>
                    <w:rPr>
                      <w:rFonts w:cstheme="minorHAnsi"/>
                      <w:sz w:val="18"/>
                      <w:szCs w:val="18"/>
                    </w:rPr>
                  </w:pPr>
                </w:p>
              </w:tc>
              <w:tc>
                <w:tcPr>
                  <w:tcW w:w="3568" w:type="dxa"/>
                </w:tcPr>
                <w:p w14:paraId="53BA1ED1"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USGS Commodity Statistics, 2023</w:t>
                  </w:r>
                  <w:r w:rsidRPr="00D701AE">
                    <w:rPr>
                      <w:rFonts w:cstheme="minorHAnsi"/>
                      <w:sz w:val="18"/>
                      <w:szCs w:val="18"/>
                    </w:rPr>
                    <w:t xml:space="preserve"> </w:t>
                  </w:r>
                  <w:r w:rsidRPr="00D701AE">
                    <w:rPr>
                      <w:rFonts w:cstheme="minorHAnsi"/>
                      <w:sz w:val="18"/>
                      <w:szCs w:val="18"/>
                      <w14:ligatures w14:val="standardContextual"/>
                    </w:rPr>
                    <w:t>(</w:t>
                  </w:r>
                  <w:r w:rsidRPr="00D701AE">
                    <w:rPr>
                      <w:rFonts w:cstheme="minorHAnsi"/>
                      <w:color w:val="0000FF"/>
                      <w:sz w:val="18"/>
                      <w:szCs w:val="18"/>
                      <w14:ligatures w14:val="standardContextual"/>
                    </w:rPr>
                    <w:t>https://www.usgs.gov/centers/nmic/commodity-statistics-and-information</w:t>
                  </w:r>
                  <w:r w:rsidRPr="00D701AE">
                    <w:rPr>
                      <w:rFonts w:cstheme="minorHAnsi"/>
                      <w:sz w:val="18"/>
                      <w:szCs w:val="18"/>
                      <w14:ligatures w14:val="standardContextual"/>
                    </w:rPr>
                    <w:t>)</w:t>
                  </w:r>
                </w:p>
              </w:tc>
              <w:tc>
                <w:tcPr>
                  <w:tcW w:w="2528" w:type="dxa"/>
                </w:tcPr>
                <w:p w14:paraId="263D0B2C"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 xml:space="preserve">Ferro-alloys production up to 2019; pig iron production; </w:t>
                  </w:r>
                  <w:r w:rsidRPr="00D701AE">
                    <w:rPr>
                      <w:rFonts w:cstheme="minorHAnsi"/>
                      <w:sz w:val="18"/>
                      <w:szCs w:val="18"/>
                    </w:rPr>
                    <w:t xml:space="preserve">non-metallic minerals except for China for the latest years; </w:t>
                  </w:r>
                  <w:r w:rsidRPr="00D701AE">
                    <w:rPr>
                      <w:rFonts w:cstheme="minorHAnsi"/>
                      <w:sz w:val="18"/>
                      <w:szCs w:val="18"/>
                      <w14:ligatures w14:val="standardContextual"/>
                    </w:rPr>
                    <w:t>Clinker production of US up to 2022; lime production; chemicals production; ammonia production; last access May 2023</w:t>
                  </w:r>
                </w:p>
              </w:tc>
            </w:tr>
            <w:tr w:rsidR="002C252B" w14:paraId="110257C5" w14:textId="77777777" w:rsidTr="00D92EDD">
              <w:tc>
                <w:tcPr>
                  <w:tcW w:w="1465" w:type="dxa"/>
                  <w:vMerge/>
                </w:tcPr>
                <w:p w14:paraId="1EECCD63" w14:textId="77777777" w:rsidR="002C252B" w:rsidRPr="00D701AE" w:rsidRDefault="002C252B" w:rsidP="002C252B">
                  <w:pPr>
                    <w:rPr>
                      <w:rFonts w:cstheme="minorHAnsi"/>
                      <w:sz w:val="18"/>
                      <w:szCs w:val="18"/>
                    </w:rPr>
                  </w:pPr>
                </w:p>
              </w:tc>
              <w:tc>
                <w:tcPr>
                  <w:tcW w:w="3568" w:type="dxa"/>
                </w:tcPr>
                <w:p w14:paraId="7D902295"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British Geological Survey, British Geological Society for non-ferrous metals, </w:t>
                  </w:r>
                  <w:proofErr w:type="gramStart"/>
                  <w:r w:rsidRPr="00D701AE">
                    <w:rPr>
                      <w:rFonts w:cstheme="minorHAnsi"/>
                      <w:sz w:val="18"/>
                      <w:szCs w:val="18"/>
                      <w14:ligatures w14:val="standardContextual"/>
                    </w:rPr>
                    <w:t xml:space="preserve">2023 </w:t>
                  </w:r>
                  <w:r w:rsidRPr="00D701AE">
                    <w:rPr>
                      <w:rFonts w:cstheme="minorHAnsi"/>
                      <w:sz w:val="18"/>
                      <w:szCs w:val="18"/>
                    </w:rPr>
                    <w:t xml:space="preserve"> </w:t>
                  </w:r>
                  <w:r w:rsidRPr="00D701AE">
                    <w:rPr>
                      <w:rFonts w:cstheme="minorHAnsi"/>
                      <w:sz w:val="18"/>
                      <w:szCs w:val="18"/>
                      <w14:ligatures w14:val="standardContextual"/>
                    </w:rPr>
                    <w:t>(</w:t>
                  </w:r>
                  <w:proofErr w:type="gramEnd"/>
                  <w:r w:rsidRPr="00D701AE">
                    <w:rPr>
                      <w:rFonts w:cstheme="minorHAnsi"/>
                      <w:sz w:val="18"/>
                      <w:szCs w:val="18"/>
                      <w14:ligatures w14:val="standardContextual"/>
                    </w:rPr>
                    <w:t>https://www.bgs.ac.uk/datasets/uk-and-world-mineral-statistics-datasets/)</w:t>
                  </w:r>
                </w:p>
              </w:tc>
              <w:tc>
                <w:tcPr>
                  <w:tcW w:w="2528" w:type="dxa"/>
                </w:tcPr>
                <w:p w14:paraId="1D8BA33F"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Ferro-alloys production up to 2021; pig iron production; last access March 2023</w:t>
                  </w:r>
                </w:p>
              </w:tc>
            </w:tr>
            <w:tr w:rsidR="002C252B" w14:paraId="09FAEEEA" w14:textId="77777777" w:rsidTr="00D92EDD">
              <w:tc>
                <w:tcPr>
                  <w:tcW w:w="1465" w:type="dxa"/>
                  <w:vMerge/>
                </w:tcPr>
                <w:p w14:paraId="21EDD6AB" w14:textId="77777777" w:rsidR="002C252B" w:rsidRPr="00D701AE" w:rsidRDefault="002C252B" w:rsidP="002C252B">
                  <w:pPr>
                    <w:rPr>
                      <w:rFonts w:cstheme="minorHAnsi"/>
                      <w:sz w:val="18"/>
                      <w:szCs w:val="18"/>
                    </w:rPr>
                  </w:pPr>
                </w:p>
              </w:tc>
              <w:tc>
                <w:tcPr>
                  <w:tcW w:w="3568" w:type="dxa"/>
                </w:tcPr>
                <w:p w14:paraId="3C511724"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National Bureau of Statistics of China, </w:t>
                  </w:r>
                  <w:r w:rsidRPr="00D701AE" w:rsidDel="0023322A">
                    <w:rPr>
                      <w:rFonts w:cstheme="minorHAnsi"/>
                      <w:sz w:val="18"/>
                      <w:szCs w:val="18"/>
                      <w14:ligatures w14:val="standardContextual"/>
                    </w:rPr>
                    <w:t>2023</w:t>
                  </w:r>
                  <w:r w:rsidRPr="00D701AE">
                    <w:rPr>
                      <w:rFonts w:cstheme="minorHAnsi"/>
                      <w:sz w:val="18"/>
                      <w:szCs w:val="18"/>
                    </w:rPr>
                    <w:t xml:space="preserve"> </w:t>
                  </w:r>
                  <w:r w:rsidRPr="00D701AE">
                    <w:rPr>
                      <w:rFonts w:cstheme="minorHAnsi"/>
                      <w:sz w:val="18"/>
                      <w:szCs w:val="18"/>
                      <w14:ligatures w14:val="standardContextual"/>
                    </w:rPr>
                    <w:t>(</w:t>
                  </w:r>
                  <w:r w:rsidRPr="00D701AE">
                    <w:rPr>
                      <w:rFonts w:cstheme="minorHAnsi"/>
                      <w:color w:val="0000FF"/>
                      <w:sz w:val="18"/>
                      <w:szCs w:val="18"/>
                      <w14:ligatures w14:val="standardContextual"/>
                    </w:rPr>
                    <w:t>http://www.stats.gov.cn/english/</w:t>
                  </w:r>
                  <w:r w:rsidRPr="00D701AE">
                    <w:rPr>
                      <w:rFonts w:cstheme="minorHAnsi"/>
                      <w:sz w:val="18"/>
                      <w:szCs w:val="18"/>
                      <w14:ligatures w14:val="standardContextual"/>
                    </w:rPr>
                    <w:t>)</w:t>
                  </w:r>
                </w:p>
              </w:tc>
              <w:tc>
                <w:tcPr>
                  <w:tcW w:w="2528" w:type="dxa"/>
                </w:tcPr>
                <w:p w14:paraId="0DF1A2B0"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Pig iron production for China; last access June 2023</w:t>
                  </w:r>
                </w:p>
              </w:tc>
            </w:tr>
            <w:tr w:rsidR="002C252B" w14:paraId="12897B7E" w14:textId="77777777" w:rsidTr="00D92EDD">
              <w:tc>
                <w:tcPr>
                  <w:tcW w:w="1465" w:type="dxa"/>
                  <w:vMerge/>
                </w:tcPr>
                <w:p w14:paraId="7AAC4A97" w14:textId="77777777" w:rsidR="002C252B" w:rsidRPr="00D701AE" w:rsidRDefault="002C252B" w:rsidP="002C252B">
                  <w:pPr>
                    <w:rPr>
                      <w:rFonts w:cstheme="minorHAnsi"/>
                      <w:sz w:val="18"/>
                      <w:szCs w:val="18"/>
                    </w:rPr>
                  </w:pPr>
                </w:p>
              </w:tc>
              <w:tc>
                <w:tcPr>
                  <w:tcW w:w="3568" w:type="dxa"/>
                </w:tcPr>
                <w:p w14:paraId="3EB67CEA"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UNFCCC, National Inventory Submissions, 2023 </w:t>
                  </w:r>
                  <w:r w:rsidRPr="00D701AE" w:rsidDel="00D80861">
                    <w:rPr>
                      <w:rFonts w:cstheme="minorHAnsi"/>
                      <w:sz w:val="18"/>
                      <w:szCs w:val="18"/>
                      <w14:ligatures w14:val="standardContextual"/>
                    </w:rPr>
                    <w:t>(</w:t>
                  </w:r>
                  <w:r w:rsidRPr="00D701AE">
                    <w:rPr>
                      <w:rFonts w:cstheme="minorHAnsi"/>
                      <w:sz w:val="18"/>
                      <w:szCs w:val="18"/>
                      <w14:ligatures w14:val="standardContextual"/>
                    </w:rPr>
                    <w:t>https://unfccc.int/ghg-inventories-annex-i-parties/2023)</w:t>
                  </w:r>
                </w:p>
              </w:tc>
              <w:tc>
                <w:tcPr>
                  <w:tcW w:w="2528" w:type="dxa"/>
                </w:tcPr>
                <w:p w14:paraId="79E2F2CC"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Clinker production; last access June 2023</w:t>
                  </w:r>
                </w:p>
              </w:tc>
            </w:tr>
            <w:tr w:rsidR="002C252B" w14:paraId="7CADBB06" w14:textId="77777777" w:rsidTr="00D92EDD">
              <w:tc>
                <w:tcPr>
                  <w:tcW w:w="1465" w:type="dxa"/>
                  <w:vMerge/>
                </w:tcPr>
                <w:p w14:paraId="3F533C28" w14:textId="77777777" w:rsidR="002C252B" w:rsidRPr="00D701AE" w:rsidRDefault="002C252B" w:rsidP="002C252B">
                  <w:pPr>
                    <w:rPr>
                      <w:rFonts w:cstheme="minorHAnsi"/>
                      <w:sz w:val="18"/>
                      <w:szCs w:val="18"/>
                    </w:rPr>
                  </w:pPr>
                </w:p>
              </w:tc>
              <w:tc>
                <w:tcPr>
                  <w:tcW w:w="3568" w:type="dxa"/>
                </w:tcPr>
                <w:p w14:paraId="7737AAE3"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World Cement,2022</w:t>
                  </w:r>
                  <w:r w:rsidRPr="00D701AE">
                    <w:rPr>
                      <w:rFonts w:cstheme="minorHAnsi"/>
                      <w:sz w:val="18"/>
                      <w:szCs w:val="18"/>
                    </w:rPr>
                    <w:t xml:space="preserve"> </w:t>
                  </w:r>
                  <w:r w:rsidRPr="00D701AE">
                    <w:rPr>
                      <w:rFonts w:cstheme="minorHAnsi"/>
                      <w:sz w:val="18"/>
                      <w:szCs w:val="18"/>
                      <w14:ligatures w14:val="standardContextual"/>
                    </w:rPr>
                    <w:t>(https://www.worldcement.com/)</w:t>
                  </w:r>
                </w:p>
              </w:tc>
              <w:tc>
                <w:tcPr>
                  <w:tcW w:w="2528" w:type="dxa"/>
                </w:tcPr>
                <w:p w14:paraId="2DA3B6EF"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Clinker production of China</w:t>
                  </w:r>
                </w:p>
              </w:tc>
            </w:tr>
            <w:tr w:rsidR="002C252B" w14:paraId="79D86A54" w14:textId="77777777" w:rsidTr="00D92EDD">
              <w:tc>
                <w:tcPr>
                  <w:tcW w:w="1465" w:type="dxa"/>
                  <w:vMerge/>
                </w:tcPr>
                <w:p w14:paraId="2FECCAF8" w14:textId="77777777" w:rsidR="002C252B" w:rsidRPr="00D701AE" w:rsidRDefault="002C252B" w:rsidP="002C252B">
                  <w:pPr>
                    <w:rPr>
                      <w:rFonts w:cstheme="minorHAnsi"/>
                      <w:sz w:val="18"/>
                      <w:szCs w:val="18"/>
                    </w:rPr>
                  </w:pPr>
                </w:p>
              </w:tc>
              <w:tc>
                <w:tcPr>
                  <w:tcW w:w="3568" w:type="dxa"/>
                </w:tcPr>
                <w:p w14:paraId="2A335440"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Global Cement and Concrete Association, GNR project - Reporting CO2,</w:t>
                  </w:r>
                  <w:r w:rsidRPr="00D701AE" w:rsidDel="00E96144">
                    <w:rPr>
                      <w:rFonts w:cstheme="minorHAnsi"/>
                      <w:sz w:val="18"/>
                      <w:szCs w:val="18"/>
                      <w14:ligatures w14:val="standardContextual"/>
                    </w:rPr>
                    <w:t xml:space="preserve"> </w:t>
                  </w:r>
                  <w:r w:rsidRPr="00D701AE">
                    <w:rPr>
                      <w:rFonts w:cstheme="minorHAnsi"/>
                      <w:sz w:val="18"/>
                      <w:szCs w:val="18"/>
                      <w14:ligatures w14:val="standardContextual"/>
                    </w:rPr>
                    <w:t>2022</w:t>
                  </w:r>
                  <w:r w:rsidRPr="00D701AE">
                    <w:rPr>
                      <w:rFonts w:cstheme="minorHAnsi"/>
                      <w:sz w:val="18"/>
                      <w:szCs w:val="18"/>
                    </w:rPr>
                    <w:t xml:space="preserve"> </w:t>
                  </w:r>
                  <w:r w:rsidRPr="00D701AE">
                    <w:rPr>
                      <w:rFonts w:cstheme="minorHAnsi"/>
                      <w:sz w:val="18"/>
                      <w:szCs w:val="18"/>
                      <w14:ligatures w14:val="standardContextual"/>
                    </w:rPr>
                    <w:t>(</w:t>
                  </w:r>
                  <w:r w:rsidRPr="00D701AE">
                    <w:rPr>
                      <w:rFonts w:cstheme="minorHAnsi"/>
                      <w:color w:val="0000FF"/>
                      <w:sz w:val="18"/>
                      <w:szCs w:val="18"/>
                      <w14:ligatures w14:val="standardContextual"/>
                    </w:rPr>
                    <w:t>https://gccassociation.org/gnr/</w:t>
                  </w:r>
                  <w:r w:rsidRPr="00D701AE">
                    <w:rPr>
                      <w:rFonts w:cstheme="minorHAnsi"/>
                      <w:sz w:val="18"/>
                      <w:szCs w:val="18"/>
                      <w14:ligatures w14:val="standardContextual"/>
                    </w:rPr>
                    <w:t>)</w:t>
                  </w:r>
                </w:p>
              </w:tc>
              <w:tc>
                <w:tcPr>
                  <w:tcW w:w="2528" w:type="dxa"/>
                </w:tcPr>
                <w:p w14:paraId="0E33F205"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Clinker production ratios for Brazil, Egypt, Philippines and Thailand up to year 2019; last access July 2023</w:t>
                  </w:r>
                </w:p>
              </w:tc>
            </w:tr>
            <w:tr w:rsidR="002C252B" w14:paraId="7FB6E800" w14:textId="77777777" w:rsidTr="00D92EDD">
              <w:tc>
                <w:tcPr>
                  <w:tcW w:w="1465" w:type="dxa"/>
                  <w:vMerge/>
                </w:tcPr>
                <w:p w14:paraId="7E740169" w14:textId="77777777" w:rsidR="002C252B" w:rsidRPr="00D701AE" w:rsidRDefault="002C252B" w:rsidP="002C252B">
                  <w:pPr>
                    <w:rPr>
                      <w:rFonts w:cstheme="minorHAnsi"/>
                      <w:sz w:val="18"/>
                      <w:szCs w:val="18"/>
                    </w:rPr>
                  </w:pPr>
                </w:p>
              </w:tc>
              <w:tc>
                <w:tcPr>
                  <w:tcW w:w="3568" w:type="dxa"/>
                </w:tcPr>
                <w:p w14:paraId="436724BC"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International Fertilizer Association, Urea consumption (updates 2010-2019) and production (updates 2020) statistics, 2022</w:t>
                  </w:r>
                  <w:r w:rsidRPr="00D701AE" w:rsidDel="003B547D">
                    <w:rPr>
                      <w:rFonts w:cstheme="minorHAnsi"/>
                      <w:sz w:val="18"/>
                      <w:szCs w:val="18"/>
                    </w:rPr>
                    <w:t xml:space="preserve"> </w:t>
                  </w:r>
                  <w:r w:rsidRPr="00D701AE" w:rsidDel="003B547D">
                    <w:rPr>
                      <w:rFonts w:cstheme="minorHAnsi"/>
                      <w:sz w:val="18"/>
                      <w:szCs w:val="18"/>
                      <w14:ligatures w14:val="standardContextual"/>
                    </w:rPr>
                    <w:t>(</w:t>
                  </w:r>
                  <w:r w:rsidRPr="00D701AE">
                    <w:rPr>
                      <w:rFonts w:cstheme="minorHAnsi"/>
                      <w:sz w:val="18"/>
                      <w:szCs w:val="18"/>
                      <w14:ligatures w14:val="standardContextual"/>
                    </w:rPr>
                    <w:t>https://www.ifastat.org/)</w:t>
                  </w:r>
                </w:p>
              </w:tc>
              <w:tc>
                <w:tcPr>
                  <w:tcW w:w="2528" w:type="dxa"/>
                </w:tcPr>
                <w:p w14:paraId="66F9296B"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Urea consumption and production; last access June 2023</w:t>
                  </w:r>
                </w:p>
              </w:tc>
            </w:tr>
            <w:tr w:rsidR="002C252B" w14:paraId="2F677560" w14:textId="77777777" w:rsidTr="00D92EDD">
              <w:tc>
                <w:tcPr>
                  <w:tcW w:w="1465" w:type="dxa"/>
                  <w:vMerge/>
                </w:tcPr>
                <w:p w14:paraId="26EF4B0D" w14:textId="77777777" w:rsidR="002C252B" w:rsidRPr="00D701AE" w:rsidRDefault="002C252B" w:rsidP="002C252B">
                  <w:pPr>
                    <w:rPr>
                      <w:rFonts w:cstheme="minorHAnsi"/>
                      <w:sz w:val="18"/>
                      <w:szCs w:val="18"/>
                    </w:rPr>
                  </w:pPr>
                </w:p>
              </w:tc>
              <w:tc>
                <w:tcPr>
                  <w:tcW w:w="3568" w:type="dxa"/>
                </w:tcPr>
                <w:p w14:paraId="451EFFB9"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Olivier, J.G.J, Trends in global CO2 and total greenhouse gas emissions: 2021 Summary Report, PBL Netherlands</w:t>
                  </w:r>
                </w:p>
                <w:p w14:paraId="5145396B"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Environmental Assessment Agency, The Hague, 2022</w:t>
                  </w:r>
                </w:p>
              </w:tc>
              <w:tc>
                <w:tcPr>
                  <w:tcW w:w="2528" w:type="dxa"/>
                </w:tcPr>
                <w:p w14:paraId="67B89636"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Fluorinated gases (F-gases)</w:t>
                  </w:r>
                </w:p>
              </w:tc>
            </w:tr>
            <w:tr w:rsidR="002C252B" w14:paraId="1E60D65F" w14:textId="77777777" w:rsidTr="00D92EDD">
              <w:tc>
                <w:tcPr>
                  <w:tcW w:w="1465" w:type="dxa"/>
                  <w:vMerge w:val="restart"/>
                  <w:shd w:val="clear" w:color="auto" w:fill="D9E2F3" w:themeFill="accent1" w:themeFillTint="33"/>
                </w:tcPr>
                <w:p w14:paraId="2F0EC2F6" w14:textId="77777777" w:rsidR="002C252B" w:rsidRPr="00D701AE" w:rsidRDefault="002C252B" w:rsidP="002C252B">
                  <w:pPr>
                    <w:rPr>
                      <w:rFonts w:cstheme="minorHAnsi"/>
                      <w:sz w:val="18"/>
                      <w:szCs w:val="18"/>
                    </w:rPr>
                  </w:pPr>
                  <w:r w:rsidRPr="00D701AE">
                    <w:rPr>
                      <w:rFonts w:cstheme="minorHAnsi"/>
                      <w:sz w:val="18"/>
                      <w:szCs w:val="18"/>
                    </w:rPr>
                    <w:t>Waste</w:t>
                  </w:r>
                </w:p>
              </w:tc>
              <w:tc>
                <w:tcPr>
                  <w:tcW w:w="3568" w:type="dxa"/>
                  <w:shd w:val="clear" w:color="auto" w:fill="D9E2F3" w:themeFill="accent1" w:themeFillTint="33"/>
                </w:tcPr>
                <w:p w14:paraId="645A1E19"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UNFCCC, GHG Review Tools, 2023</w:t>
                  </w:r>
                  <w:r w:rsidRPr="00D701AE" w:rsidDel="00FE4319">
                    <w:rPr>
                      <w:rFonts w:cstheme="minorHAnsi"/>
                      <w:sz w:val="18"/>
                      <w:szCs w:val="18"/>
                    </w:rPr>
                    <w:t xml:space="preserve"> </w:t>
                  </w:r>
                  <w:r w:rsidRPr="00D701AE" w:rsidDel="00FE4319">
                    <w:rPr>
                      <w:rFonts w:cstheme="minorHAnsi"/>
                      <w:sz w:val="18"/>
                      <w:szCs w:val="18"/>
                      <w14:ligatures w14:val="standardContextual"/>
                    </w:rPr>
                    <w:t>(</w:t>
                  </w:r>
                  <w:r w:rsidRPr="00D701AE">
                    <w:rPr>
                      <w:rFonts w:cstheme="minorHAnsi"/>
                      <w:color w:val="0000FF"/>
                      <w:sz w:val="18"/>
                      <w:szCs w:val="18"/>
                      <w14:ligatures w14:val="standardContextual"/>
                    </w:rPr>
                    <w:t>https://rt.unfccc.int/locator</w:t>
                  </w:r>
                  <w:r w:rsidRPr="00D701AE">
                    <w:rPr>
                      <w:rFonts w:cstheme="minorHAnsi"/>
                      <w:sz w:val="18"/>
                      <w:szCs w:val="18"/>
                      <w14:ligatures w14:val="standardContextual"/>
                    </w:rPr>
                    <w:t>)</w:t>
                  </w:r>
                </w:p>
              </w:tc>
              <w:tc>
                <w:tcPr>
                  <w:tcW w:w="2528" w:type="dxa"/>
                  <w:shd w:val="clear" w:color="auto" w:fill="D9E2F3" w:themeFill="accent1" w:themeFillTint="33"/>
                </w:tcPr>
                <w:p w14:paraId="704190E7" w14:textId="77777777" w:rsidR="002C252B" w:rsidRPr="00D701AE" w:rsidRDefault="002C252B" w:rsidP="002C252B">
                  <w:pPr>
                    <w:spacing w:line="259" w:lineRule="auto"/>
                    <w:rPr>
                      <w:rFonts w:cstheme="minorHAnsi"/>
                      <w:sz w:val="18"/>
                      <w:szCs w:val="18"/>
                    </w:rPr>
                  </w:pPr>
                  <w:r w:rsidRPr="00D701AE">
                    <w:rPr>
                      <w:rFonts w:cstheme="minorHAnsi"/>
                      <w:sz w:val="18"/>
                      <w:szCs w:val="18"/>
                    </w:rPr>
                    <w:t>Waste incineration, including open burning of municipal solid waste (MSW), industrial solid waste, biogenic waste, clinical waste, sewage sludge waste, waste from cremation and other waste for Annex I countries; landfills emissions; waste composting for Annex I countries; last access June 2023.</w:t>
                  </w:r>
                </w:p>
              </w:tc>
            </w:tr>
            <w:tr w:rsidR="002C252B" w14:paraId="7A131F83" w14:textId="77777777" w:rsidTr="00D92EDD">
              <w:trPr>
                <w:trHeight w:val="458"/>
              </w:trPr>
              <w:tc>
                <w:tcPr>
                  <w:tcW w:w="1465" w:type="dxa"/>
                  <w:vMerge/>
                </w:tcPr>
                <w:p w14:paraId="040CB615"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76B2069D" w14:textId="77777777" w:rsidR="002C252B" w:rsidRPr="00D701AE" w:rsidRDefault="002C252B" w:rsidP="002C252B">
                  <w:pPr>
                    <w:rPr>
                      <w:rFonts w:cstheme="minorHAnsi"/>
                      <w:sz w:val="18"/>
                      <w:szCs w:val="18"/>
                    </w:rPr>
                  </w:pPr>
                  <w:r w:rsidRPr="00D701AE">
                    <w:rPr>
                      <w:rFonts w:cstheme="minorHAnsi"/>
                      <w:sz w:val="18"/>
                      <w:szCs w:val="18"/>
                    </w:rPr>
                    <w:t xml:space="preserve">The Cremation Society (https://www.cremation.org.uk/) </w:t>
                  </w:r>
                </w:p>
              </w:tc>
              <w:tc>
                <w:tcPr>
                  <w:tcW w:w="2528" w:type="dxa"/>
                  <w:shd w:val="clear" w:color="auto" w:fill="D9E2F3" w:themeFill="accent1" w:themeFillTint="33"/>
                </w:tcPr>
                <w:p w14:paraId="26B49DB6" w14:textId="77777777" w:rsidR="002C252B" w:rsidRPr="00D701AE" w:rsidRDefault="002C252B" w:rsidP="002C252B">
                  <w:pPr>
                    <w:rPr>
                      <w:rFonts w:cstheme="minorHAnsi"/>
                      <w:sz w:val="18"/>
                      <w:szCs w:val="18"/>
                    </w:rPr>
                  </w:pPr>
                  <w:r w:rsidRPr="00D701AE">
                    <w:rPr>
                      <w:rFonts w:cstheme="minorHAnsi"/>
                      <w:sz w:val="18"/>
                      <w:szCs w:val="18"/>
                    </w:rPr>
                    <w:t>GHG emissions from waste from cremation</w:t>
                  </w:r>
                </w:p>
              </w:tc>
            </w:tr>
            <w:tr w:rsidR="002C252B" w14:paraId="5C5DDD9C" w14:textId="77777777" w:rsidTr="00D92EDD">
              <w:tc>
                <w:tcPr>
                  <w:tcW w:w="1465" w:type="dxa"/>
                  <w:vMerge/>
                </w:tcPr>
                <w:p w14:paraId="4AACE0F8"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653F7803"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Janssens-Maenhout, G., et al. EDGAR v4.3.2 Global Atlas of the three major greenhouse gas emissions for the period 1970–</w:t>
                  </w:r>
                </w:p>
                <w:p w14:paraId="4EEBF6D6"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2012, Earth Syst. Sci. Data, 11, 959–1002, 2019</w:t>
                  </w:r>
                  <w:r w:rsidRPr="00D701AE" w:rsidDel="004302E4">
                    <w:rPr>
                      <w:rFonts w:cstheme="minorHAnsi"/>
                      <w:sz w:val="18"/>
                      <w:szCs w:val="18"/>
                      <w14:ligatures w14:val="standardContextual"/>
                    </w:rPr>
                    <w:t xml:space="preserve"> (</w:t>
                  </w:r>
                  <w:r w:rsidRPr="00D701AE">
                    <w:rPr>
                      <w:rFonts w:cstheme="minorHAnsi"/>
                      <w:color w:val="0000FF"/>
                      <w:sz w:val="18"/>
                      <w:szCs w:val="18"/>
                      <w14:ligatures w14:val="standardContextual"/>
                    </w:rPr>
                    <w:t>https://doi.org/10.5194/essd-11-959-2019</w:t>
                  </w:r>
                  <w:r w:rsidRPr="00D701AE">
                    <w:rPr>
                      <w:rFonts w:cstheme="minorHAnsi"/>
                      <w:sz w:val="18"/>
                      <w:szCs w:val="18"/>
                      <w14:ligatures w14:val="standardContextual"/>
                    </w:rPr>
                    <w:t>)</w:t>
                  </w:r>
                </w:p>
              </w:tc>
              <w:tc>
                <w:tcPr>
                  <w:tcW w:w="2528" w:type="dxa"/>
                  <w:shd w:val="clear" w:color="auto" w:fill="D9E2F3" w:themeFill="accent1" w:themeFillTint="33"/>
                </w:tcPr>
                <w:p w14:paraId="4D695139" w14:textId="77777777" w:rsidR="002C252B" w:rsidRPr="00D701AE" w:rsidRDefault="002C252B" w:rsidP="002C252B">
                  <w:pPr>
                    <w:rPr>
                      <w:rFonts w:cstheme="minorHAnsi"/>
                      <w:sz w:val="18"/>
                      <w:szCs w:val="18"/>
                    </w:rPr>
                  </w:pPr>
                  <w:r w:rsidRPr="00D701AE">
                    <w:rPr>
                      <w:rFonts w:cstheme="minorHAnsi"/>
                      <w:sz w:val="18"/>
                      <w:szCs w:val="18"/>
                    </w:rPr>
                    <w:t>CH4 and N2O emissions associated with wastewater handling until 2021</w:t>
                  </w:r>
                </w:p>
              </w:tc>
            </w:tr>
            <w:tr w:rsidR="002C252B" w14:paraId="0AE32868" w14:textId="77777777" w:rsidTr="00D92EDD">
              <w:tc>
                <w:tcPr>
                  <w:tcW w:w="1465" w:type="dxa"/>
                  <w:vMerge/>
                </w:tcPr>
                <w:p w14:paraId="180B84B6"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0CEF0832"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FAOSTAT,</w:t>
                  </w:r>
                  <w:r w:rsidRPr="00D701AE" w:rsidDel="0084355B">
                    <w:rPr>
                      <w:rFonts w:cstheme="minorHAnsi"/>
                      <w:sz w:val="18"/>
                      <w:szCs w:val="18"/>
                      <w14:ligatures w14:val="standardContextual"/>
                    </w:rPr>
                    <w:t xml:space="preserve"> </w:t>
                  </w:r>
                  <w:r w:rsidRPr="00D701AE">
                    <w:rPr>
                      <w:rFonts w:cstheme="minorHAnsi"/>
                      <w:sz w:val="18"/>
                      <w:szCs w:val="18"/>
                    </w:rPr>
                    <w:t xml:space="preserve">2023 </w:t>
                  </w:r>
                  <w:r w:rsidRPr="00D701AE">
                    <w:rPr>
                      <w:rFonts w:cstheme="minorHAnsi"/>
                      <w:sz w:val="18"/>
                      <w:szCs w:val="18"/>
                      <w14:ligatures w14:val="standardContextual"/>
                    </w:rPr>
                    <w:t>(</w:t>
                  </w:r>
                  <w:r w:rsidRPr="00D701AE">
                    <w:rPr>
                      <w:rFonts w:cstheme="minorHAnsi"/>
                      <w:color w:val="0000FF"/>
                      <w:sz w:val="18"/>
                      <w:szCs w:val="18"/>
                      <w14:ligatures w14:val="standardContextual"/>
                    </w:rPr>
                    <w:t>https://www.fao.org/faostat</w:t>
                  </w:r>
                  <w:r w:rsidRPr="00D701AE">
                    <w:rPr>
                      <w:rFonts w:cstheme="minorHAnsi"/>
                      <w:sz w:val="18"/>
                      <w:szCs w:val="18"/>
                      <w14:ligatures w14:val="standardContextual"/>
                    </w:rPr>
                    <w:t>)</w:t>
                  </w:r>
                </w:p>
              </w:tc>
              <w:tc>
                <w:tcPr>
                  <w:tcW w:w="2528" w:type="dxa"/>
                  <w:shd w:val="clear" w:color="auto" w:fill="D9E2F3" w:themeFill="accent1" w:themeFillTint="33"/>
                </w:tcPr>
                <w:p w14:paraId="491A23FB" w14:textId="77777777" w:rsidR="002C252B" w:rsidRPr="00D701AE" w:rsidRDefault="002C252B" w:rsidP="002C252B">
                  <w:pPr>
                    <w:rPr>
                      <w:rFonts w:cstheme="minorHAnsi"/>
                      <w:sz w:val="18"/>
                      <w:szCs w:val="18"/>
                    </w:rPr>
                  </w:pPr>
                  <w:r w:rsidRPr="00D701AE">
                    <w:rPr>
                      <w:rFonts w:cstheme="minorHAnsi"/>
                      <w:sz w:val="18"/>
                      <w:szCs w:val="18"/>
                    </w:rPr>
                    <w:t>Meat, pulp, sugar production, average protein supply</w:t>
                  </w:r>
                </w:p>
              </w:tc>
            </w:tr>
            <w:tr w:rsidR="002C252B" w14:paraId="4DF232EC" w14:textId="77777777" w:rsidTr="00D92EDD">
              <w:tc>
                <w:tcPr>
                  <w:tcW w:w="1465" w:type="dxa"/>
                  <w:vMerge/>
                </w:tcPr>
                <w:p w14:paraId="4791D78D"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410717C9"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United Nations Statistics Industrial Commodity and Energy Statistics Database, 2023</w:t>
                  </w:r>
                </w:p>
              </w:tc>
              <w:tc>
                <w:tcPr>
                  <w:tcW w:w="2528" w:type="dxa"/>
                  <w:shd w:val="clear" w:color="auto" w:fill="D9E2F3" w:themeFill="accent1" w:themeFillTint="33"/>
                </w:tcPr>
                <w:p w14:paraId="48285282"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Alcohol production</w:t>
                  </w:r>
                </w:p>
              </w:tc>
            </w:tr>
            <w:tr w:rsidR="002C252B" w14:paraId="0C9E7370" w14:textId="77777777" w:rsidTr="00D92EDD">
              <w:tc>
                <w:tcPr>
                  <w:tcW w:w="1465" w:type="dxa"/>
                  <w:vMerge/>
                </w:tcPr>
                <w:p w14:paraId="5F985E93"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73711B3F"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Renewable Fuels Association, Industrial statistics, </w:t>
                  </w:r>
                  <w:r w:rsidRPr="00D701AE" w:rsidDel="001B6666">
                    <w:rPr>
                      <w:rFonts w:cstheme="minorHAnsi"/>
                      <w:sz w:val="18"/>
                      <w:szCs w:val="18"/>
                      <w14:ligatures w14:val="standardContextual"/>
                    </w:rPr>
                    <w:t>2023</w:t>
                  </w:r>
                  <w:r w:rsidRPr="00D701AE">
                    <w:rPr>
                      <w:rFonts w:cstheme="minorHAnsi"/>
                      <w:sz w:val="18"/>
                      <w:szCs w:val="18"/>
                    </w:rPr>
                    <w:t xml:space="preserve"> </w:t>
                  </w:r>
                  <w:r w:rsidRPr="00D701AE">
                    <w:rPr>
                      <w:rFonts w:cstheme="minorHAnsi"/>
                      <w:sz w:val="18"/>
                      <w:szCs w:val="18"/>
                      <w14:ligatures w14:val="standardContextual"/>
                    </w:rPr>
                    <w:t>(https://ethanolrfa.org/)</w:t>
                  </w:r>
                </w:p>
              </w:tc>
              <w:tc>
                <w:tcPr>
                  <w:tcW w:w="2528" w:type="dxa"/>
                  <w:shd w:val="clear" w:color="auto" w:fill="D9E2F3" w:themeFill="accent1" w:themeFillTint="33"/>
                </w:tcPr>
                <w:p w14:paraId="552F24AA"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Alcohol production</w:t>
                  </w:r>
                </w:p>
              </w:tc>
            </w:tr>
            <w:tr w:rsidR="002C252B" w14:paraId="523184F1" w14:textId="77777777" w:rsidTr="00D92EDD">
              <w:tc>
                <w:tcPr>
                  <w:tcW w:w="1465" w:type="dxa"/>
                  <w:vMerge/>
                </w:tcPr>
                <w:p w14:paraId="35BF55D2"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084C33BB" w14:textId="77777777" w:rsidR="002C252B" w:rsidRPr="00D701AE" w:rsidRDefault="002C252B" w:rsidP="002C252B">
                  <w:pPr>
                    <w:autoSpaceDE w:val="0"/>
                    <w:autoSpaceDN w:val="0"/>
                    <w:adjustRightInd w:val="0"/>
                    <w:rPr>
                      <w:rFonts w:cstheme="minorHAnsi"/>
                      <w:sz w:val="18"/>
                      <w:szCs w:val="18"/>
                      <w14:ligatures w14:val="standardContextual"/>
                    </w:rPr>
                  </w:pPr>
                  <w:proofErr w:type="gramStart"/>
                  <w:r w:rsidRPr="00D701AE">
                    <w:rPr>
                      <w:rFonts w:cstheme="minorHAnsi"/>
                      <w:sz w:val="18"/>
                      <w:szCs w:val="18"/>
                      <w14:ligatures w14:val="standardContextual"/>
                    </w:rPr>
                    <w:t>UNDP,</w:t>
                  </w:r>
                  <w:r w:rsidRPr="00D701AE" w:rsidDel="00EC4BC0">
                    <w:rPr>
                      <w:rFonts w:cstheme="minorHAnsi"/>
                      <w:sz w:val="18"/>
                      <w:szCs w:val="18"/>
                      <w14:ligatures w14:val="standardContextual"/>
                    </w:rPr>
                    <w:t xml:space="preserve"> </w:t>
                  </w:r>
                  <w:r w:rsidRPr="00D701AE">
                    <w:rPr>
                      <w:rFonts w:cstheme="minorHAnsi"/>
                      <w:sz w:val="18"/>
                      <w:szCs w:val="18"/>
                      <w14:ligatures w14:val="standardContextual"/>
                    </w:rPr>
                    <w:t xml:space="preserve"> population</w:t>
                  </w:r>
                  <w:proofErr w:type="gramEnd"/>
                  <w:r w:rsidRPr="00D701AE">
                    <w:rPr>
                      <w:rFonts w:cstheme="minorHAnsi"/>
                      <w:sz w:val="18"/>
                      <w:szCs w:val="18"/>
                      <w14:ligatures w14:val="standardContextual"/>
                    </w:rPr>
                    <w:t xml:space="preserve"> statistics (2019), World Population Prospects (WPP), The 2019 Revision Report United Nations,</w:t>
                  </w:r>
                </w:p>
                <w:p w14:paraId="6E69499F"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Department of Economic and Social Affairs, Population Division, 2019</w:t>
                  </w:r>
                  <w:r w:rsidRPr="00D701AE" w:rsidDel="00EC4BC0">
                    <w:rPr>
                      <w:rFonts w:cstheme="minorHAnsi"/>
                      <w:sz w:val="18"/>
                      <w:szCs w:val="18"/>
                      <w14:ligatures w14:val="standardContextual"/>
                    </w:rPr>
                    <w:t xml:space="preserve"> (</w:t>
                  </w:r>
                  <w:r w:rsidRPr="00D701AE">
                    <w:rPr>
                      <w:rFonts w:cstheme="minorHAnsi"/>
                      <w:sz w:val="18"/>
                      <w:szCs w:val="18"/>
                      <w14:ligatures w14:val="standardContextual"/>
                    </w:rPr>
                    <w:t>https://www.un.org/development/desa/pd/news/world-population-prospects-2019-0)</w:t>
                  </w:r>
                </w:p>
              </w:tc>
              <w:tc>
                <w:tcPr>
                  <w:tcW w:w="2528" w:type="dxa"/>
                  <w:shd w:val="clear" w:color="auto" w:fill="D9E2F3" w:themeFill="accent1" w:themeFillTint="33"/>
                </w:tcPr>
                <w:p w14:paraId="583A5DE8"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Population</w:t>
                  </w:r>
                </w:p>
              </w:tc>
            </w:tr>
            <w:tr w:rsidR="002C252B" w14:paraId="41E13578" w14:textId="77777777" w:rsidTr="00D92EDD">
              <w:tc>
                <w:tcPr>
                  <w:tcW w:w="1465" w:type="dxa"/>
                  <w:vMerge/>
                </w:tcPr>
                <w:p w14:paraId="50C5EE76"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545A07B2"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Janssens-Maenhout, G., et al., EDGAR v4.3.2 Global Atlas of the three major greenhouse gas emissions for the period 1970–</w:t>
                  </w:r>
                </w:p>
                <w:p w14:paraId="1CE627E9"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2012, Earth Syst. Sci. Data, 11, 959–1002, 2019</w:t>
                  </w:r>
                  <w:r w:rsidRPr="00D701AE" w:rsidDel="005E2063">
                    <w:rPr>
                      <w:rFonts w:cstheme="minorHAnsi"/>
                      <w:sz w:val="18"/>
                      <w:szCs w:val="18"/>
                      <w14:ligatures w14:val="standardContextual"/>
                    </w:rPr>
                    <w:t xml:space="preserve"> (</w:t>
                  </w:r>
                  <w:r w:rsidRPr="00D701AE">
                    <w:rPr>
                      <w:rFonts w:cstheme="minorHAnsi"/>
                      <w:color w:val="0000FF"/>
                      <w:sz w:val="18"/>
                      <w:szCs w:val="18"/>
                      <w14:ligatures w14:val="standardContextual"/>
                    </w:rPr>
                    <w:t>https://doi.org/10.5194/essd-11-959-2019</w:t>
                  </w:r>
                  <w:r w:rsidRPr="00D701AE">
                    <w:rPr>
                      <w:rFonts w:cstheme="minorHAnsi"/>
                      <w:sz w:val="18"/>
                      <w:szCs w:val="18"/>
                      <w14:ligatures w14:val="standardContextual"/>
                    </w:rPr>
                    <w:t>)</w:t>
                  </w:r>
                </w:p>
              </w:tc>
              <w:tc>
                <w:tcPr>
                  <w:tcW w:w="2528" w:type="dxa"/>
                  <w:shd w:val="clear" w:color="auto" w:fill="D9E2F3" w:themeFill="accent1" w:themeFillTint="33"/>
                </w:tcPr>
                <w:p w14:paraId="4495CCDE"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Urban population</w:t>
                  </w:r>
                </w:p>
              </w:tc>
            </w:tr>
            <w:tr w:rsidR="002C252B" w14:paraId="11CABBC5" w14:textId="77777777" w:rsidTr="00D92EDD">
              <w:tc>
                <w:tcPr>
                  <w:tcW w:w="1465" w:type="dxa"/>
                  <w:vMerge/>
                </w:tcPr>
                <w:p w14:paraId="77CD07BE"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0FAF0B59"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UNSD/ENVSAT, UN Environment Statistics, 2023</w:t>
                  </w:r>
                  <w:r w:rsidRPr="00D701AE" w:rsidDel="00EE17CB">
                    <w:rPr>
                      <w:rFonts w:cstheme="minorHAnsi"/>
                      <w:sz w:val="18"/>
                      <w:szCs w:val="18"/>
                    </w:rPr>
                    <w:t xml:space="preserve"> </w:t>
                  </w:r>
                  <w:r w:rsidRPr="00D701AE" w:rsidDel="00EE17CB">
                    <w:rPr>
                      <w:rFonts w:cstheme="minorHAnsi"/>
                      <w:sz w:val="18"/>
                      <w:szCs w:val="18"/>
                      <w14:ligatures w14:val="standardContextual"/>
                    </w:rPr>
                    <w:t>(</w:t>
                  </w:r>
                  <w:r w:rsidRPr="00D701AE">
                    <w:rPr>
                      <w:rFonts w:cstheme="minorHAnsi"/>
                      <w:sz w:val="18"/>
                      <w:szCs w:val="18"/>
                      <w14:ligatures w14:val="standardContextual"/>
                    </w:rPr>
                    <w:t>https://unstats.un.org/unsd/envstats/index.cshtml)</w:t>
                  </w:r>
                </w:p>
              </w:tc>
              <w:tc>
                <w:tcPr>
                  <w:tcW w:w="2528" w:type="dxa"/>
                  <w:shd w:val="clear" w:color="auto" w:fill="D9E2F3" w:themeFill="accent1" w:themeFillTint="33"/>
                </w:tcPr>
                <w:p w14:paraId="49530A9B"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Waste composting for non-Annex I countries; last access May 2023</w:t>
                  </w:r>
                </w:p>
              </w:tc>
            </w:tr>
            <w:tr w:rsidR="002C252B" w14:paraId="0EFB6666" w14:textId="77777777" w:rsidTr="00D92EDD">
              <w:tc>
                <w:tcPr>
                  <w:tcW w:w="1465" w:type="dxa"/>
                  <w:vMerge/>
                </w:tcPr>
                <w:p w14:paraId="299237C7"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6972A482"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Eurostat</w:t>
                  </w:r>
                  <w:r w:rsidRPr="00D701AE">
                    <w:rPr>
                      <w:rFonts w:cstheme="minorHAnsi"/>
                      <w:sz w:val="18"/>
                      <w:szCs w:val="18"/>
                    </w:rPr>
                    <w:t xml:space="preserve"> </w:t>
                  </w:r>
                  <w:r w:rsidRPr="00D701AE">
                    <w:rPr>
                      <w:rFonts w:cstheme="minorHAnsi"/>
                      <w:sz w:val="18"/>
                      <w:szCs w:val="18"/>
                      <w14:ligatures w14:val="standardContextual"/>
                    </w:rPr>
                    <w:t>(https://ec.europa.eu/eurostat)</w:t>
                  </w:r>
                </w:p>
              </w:tc>
              <w:tc>
                <w:tcPr>
                  <w:tcW w:w="2528" w:type="dxa"/>
                  <w:shd w:val="clear" w:color="auto" w:fill="D9E2F3" w:themeFill="accent1" w:themeFillTint="33"/>
                </w:tcPr>
                <w:p w14:paraId="6E1DF98C"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Hazardous waste</w:t>
                  </w:r>
                </w:p>
              </w:tc>
            </w:tr>
            <w:tr w:rsidR="002C252B" w14:paraId="3F3D5591" w14:textId="77777777" w:rsidTr="00D92EDD">
              <w:tc>
                <w:tcPr>
                  <w:tcW w:w="1465" w:type="dxa"/>
                  <w:vMerge/>
                </w:tcPr>
                <w:p w14:paraId="5D941851"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1575BD49"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UNSD/ENVSTAT, UN Environment Statistics, 2023</w:t>
                  </w:r>
                  <w:r w:rsidRPr="00D701AE">
                    <w:rPr>
                      <w:rFonts w:cstheme="minorHAnsi"/>
                      <w:sz w:val="18"/>
                      <w:szCs w:val="18"/>
                    </w:rPr>
                    <w:t xml:space="preserve"> </w:t>
                  </w:r>
                  <w:r w:rsidRPr="00D701AE">
                    <w:rPr>
                      <w:rFonts w:cstheme="minorHAnsi"/>
                      <w:sz w:val="18"/>
                      <w:szCs w:val="18"/>
                      <w14:ligatures w14:val="standardContextual"/>
                    </w:rPr>
                    <w:t>(https://unstats.un.org/unsd/envstats/index.cshtml</w:t>
                  </w:r>
                  <w:r w:rsidRPr="00D701AE" w:rsidDel="004E2DC1">
                    <w:rPr>
                      <w:rFonts w:cstheme="minorHAnsi"/>
                      <w:sz w:val="18"/>
                      <w:szCs w:val="18"/>
                      <w14:ligatures w14:val="standardContextual"/>
                    </w:rPr>
                    <w:t>)</w:t>
                  </w:r>
                </w:p>
              </w:tc>
              <w:tc>
                <w:tcPr>
                  <w:tcW w:w="2528" w:type="dxa"/>
                  <w:shd w:val="clear" w:color="auto" w:fill="D9E2F3" w:themeFill="accent1" w:themeFillTint="33"/>
                </w:tcPr>
                <w:p w14:paraId="60EB5589"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Hazardous waste</w:t>
                  </w:r>
                </w:p>
              </w:tc>
            </w:tr>
            <w:tr w:rsidR="002C252B" w14:paraId="1BC19A73" w14:textId="77777777" w:rsidTr="00D92EDD">
              <w:tc>
                <w:tcPr>
                  <w:tcW w:w="1465" w:type="dxa"/>
                  <w:vMerge/>
                </w:tcPr>
                <w:p w14:paraId="2F086BA0"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7115ABB1"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U.S. EPA</w:t>
                  </w:r>
                  <w:r w:rsidRPr="00D701AE">
                    <w:rPr>
                      <w:rFonts w:cstheme="minorHAnsi"/>
                      <w:sz w:val="18"/>
                      <w:szCs w:val="18"/>
                    </w:rPr>
                    <w:t xml:space="preserve">, </w:t>
                  </w:r>
                  <w:r w:rsidRPr="00D701AE">
                    <w:rPr>
                      <w:rFonts w:cstheme="minorHAnsi"/>
                      <w:sz w:val="18"/>
                      <w:szCs w:val="18"/>
                      <w14:ligatures w14:val="standardContextual"/>
                    </w:rPr>
                    <w:t>Natural Gas and Petroleum Systems in the GHG Inventory: Additional Information on the 1990-2021 GHG</w:t>
                  </w:r>
                </w:p>
                <w:p w14:paraId="6768ABF2"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 xml:space="preserve">Inventory, </w:t>
                  </w:r>
                  <w:proofErr w:type="gramStart"/>
                  <w:r w:rsidRPr="00D701AE">
                    <w:rPr>
                      <w:rFonts w:cstheme="minorHAnsi"/>
                      <w:sz w:val="18"/>
                      <w:szCs w:val="18"/>
                      <w14:ligatures w14:val="standardContextual"/>
                    </w:rPr>
                    <w:t>2023  (</w:t>
                  </w:r>
                  <w:proofErr w:type="gramEnd"/>
                  <w:r w:rsidRPr="00D701AE">
                    <w:rPr>
                      <w:rFonts w:cstheme="minorHAnsi"/>
                      <w:sz w:val="18"/>
                      <w:szCs w:val="18"/>
                      <w14:ligatures w14:val="standardContextual"/>
                    </w:rPr>
                    <w:t>https://www.epa.gov/ghgemissions/natural-gas-and-petroleum-systemsghg-</w:t>
                  </w:r>
                </w:p>
                <w:p w14:paraId="35994C7D"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inventory-additional-information-1990-2021-ghg)</w:t>
                  </w:r>
                </w:p>
              </w:tc>
              <w:tc>
                <w:tcPr>
                  <w:tcW w:w="2528" w:type="dxa"/>
                  <w:shd w:val="clear" w:color="auto" w:fill="D9E2F3" w:themeFill="accent1" w:themeFillTint="33"/>
                </w:tcPr>
                <w:p w14:paraId="55182EA0"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Hazardous waste for US</w:t>
                  </w:r>
                </w:p>
              </w:tc>
            </w:tr>
            <w:tr w:rsidR="002C252B" w14:paraId="6C46A38C" w14:textId="77777777" w:rsidTr="00D92EDD">
              <w:tc>
                <w:tcPr>
                  <w:tcW w:w="1465" w:type="dxa"/>
                  <w:vMerge w:val="restart"/>
                </w:tcPr>
                <w:p w14:paraId="6D4EFDF3" w14:textId="77777777" w:rsidR="002C252B" w:rsidRPr="00D701AE" w:rsidRDefault="002C252B" w:rsidP="002C252B">
                  <w:pPr>
                    <w:rPr>
                      <w:rFonts w:cstheme="minorHAnsi"/>
                      <w:sz w:val="18"/>
                      <w:szCs w:val="18"/>
                    </w:rPr>
                  </w:pPr>
                  <w:r w:rsidRPr="00D701AE">
                    <w:rPr>
                      <w:rFonts w:cstheme="minorHAnsi"/>
                      <w:sz w:val="18"/>
                      <w:szCs w:val="18"/>
                    </w:rPr>
                    <w:t>Agriculture (including livestock)</w:t>
                  </w:r>
                </w:p>
              </w:tc>
              <w:tc>
                <w:tcPr>
                  <w:tcW w:w="3568" w:type="dxa"/>
                </w:tcPr>
                <w:p w14:paraId="0A713AC2" w14:textId="77777777" w:rsidR="002C252B" w:rsidRPr="00D701AE" w:rsidRDefault="002C252B" w:rsidP="002C252B">
                  <w:pPr>
                    <w:rPr>
                      <w:rFonts w:cstheme="minorHAnsi"/>
                      <w:sz w:val="18"/>
                      <w:szCs w:val="18"/>
                    </w:rPr>
                  </w:pPr>
                  <w:r w:rsidRPr="00D701AE">
                    <w:rPr>
                      <w:rFonts w:cstheme="minorHAnsi"/>
                      <w:sz w:val="18"/>
                      <w:szCs w:val="18"/>
                    </w:rPr>
                    <w:t xml:space="preserve">FAOSTAT,2023 </w:t>
                  </w:r>
                  <w:r w:rsidRPr="00D701AE">
                    <w:rPr>
                      <w:rFonts w:cstheme="minorHAnsi"/>
                      <w:sz w:val="18"/>
                      <w:szCs w:val="18"/>
                      <w14:ligatures w14:val="standardContextual"/>
                    </w:rPr>
                    <w:t>(https://www.fao.org/faostat)</w:t>
                  </w:r>
                </w:p>
              </w:tc>
              <w:tc>
                <w:tcPr>
                  <w:tcW w:w="2528" w:type="dxa"/>
                </w:tcPr>
                <w:p w14:paraId="34E7D21C"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Application of urea and</w:t>
                  </w:r>
                </w:p>
                <w:p w14:paraId="3C744767"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agricultural lime, enteric fermentation, rice cultivation, manure management, fertilizer use (both synthetic and</w:t>
                  </w:r>
                </w:p>
                <w:p w14:paraId="53E3FBFB"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from manure), and agricultural waste burning in fields</w:t>
                  </w:r>
                  <w:r w:rsidRPr="00D701AE">
                    <w:rPr>
                      <w:rFonts w:cstheme="minorHAnsi"/>
                      <w:sz w:val="18"/>
                      <w:szCs w:val="18"/>
                    </w:rPr>
                    <w:t>; last access April 2023</w:t>
                  </w:r>
                </w:p>
              </w:tc>
            </w:tr>
            <w:tr w:rsidR="002C252B" w14:paraId="5A1BCA2E" w14:textId="77777777" w:rsidTr="00D92EDD">
              <w:tc>
                <w:tcPr>
                  <w:tcW w:w="1465" w:type="dxa"/>
                  <w:vMerge/>
                </w:tcPr>
                <w:p w14:paraId="6CFD2A1E" w14:textId="77777777" w:rsidR="002C252B" w:rsidRPr="00D701AE" w:rsidRDefault="002C252B" w:rsidP="002C252B">
                  <w:pPr>
                    <w:rPr>
                      <w:rFonts w:cstheme="minorHAnsi"/>
                      <w:sz w:val="18"/>
                      <w:szCs w:val="18"/>
                    </w:rPr>
                  </w:pPr>
                </w:p>
              </w:tc>
              <w:tc>
                <w:tcPr>
                  <w:tcW w:w="3568" w:type="dxa"/>
                </w:tcPr>
                <w:p w14:paraId="4745AF45"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USDA, Foreign Agricultural, 2023</w:t>
                  </w:r>
                  <w:r w:rsidRPr="00D701AE" w:rsidDel="00A469E3">
                    <w:rPr>
                      <w:rFonts w:cstheme="minorHAnsi"/>
                      <w:sz w:val="18"/>
                      <w:szCs w:val="18"/>
                    </w:rPr>
                    <w:t xml:space="preserve"> </w:t>
                  </w:r>
                  <w:r w:rsidRPr="00D701AE" w:rsidDel="00A469E3">
                    <w:rPr>
                      <w:rFonts w:cstheme="minorHAnsi"/>
                      <w:sz w:val="18"/>
                      <w:szCs w:val="18"/>
                      <w14:ligatures w14:val="standardContextual"/>
                    </w:rPr>
                    <w:t>(</w:t>
                  </w:r>
                  <w:r w:rsidRPr="00D701AE">
                    <w:rPr>
                      <w:rFonts w:cstheme="minorHAnsi"/>
                      <w:color w:val="0000FF"/>
                      <w:sz w:val="18"/>
                      <w:szCs w:val="18"/>
                      <w14:ligatures w14:val="standardContextual"/>
                    </w:rPr>
                    <w:t>www.fas.usda.gov</w:t>
                  </w:r>
                  <w:r w:rsidRPr="00D701AE">
                    <w:rPr>
                      <w:rFonts w:cstheme="minorHAnsi"/>
                      <w:sz w:val="18"/>
                      <w:szCs w:val="18"/>
                      <w14:ligatures w14:val="standardContextual"/>
                    </w:rPr>
                    <w:t>)</w:t>
                  </w:r>
                </w:p>
              </w:tc>
              <w:tc>
                <w:tcPr>
                  <w:tcW w:w="2528" w:type="dxa"/>
                </w:tcPr>
                <w:p w14:paraId="5761B2F8"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Crop and livestock data at macro regional level; last access May 2023</w:t>
                  </w:r>
                </w:p>
              </w:tc>
            </w:tr>
            <w:tr w:rsidR="002C252B" w14:paraId="342B61AC" w14:textId="77777777" w:rsidTr="00D92EDD">
              <w:tc>
                <w:tcPr>
                  <w:tcW w:w="1465" w:type="dxa"/>
                  <w:vMerge/>
                </w:tcPr>
                <w:p w14:paraId="77282ABD" w14:textId="77777777" w:rsidR="002C252B" w:rsidRPr="00D701AE" w:rsidRDefault="002C252B" w:rsidP="002C252B">
                  <w:pPr>
                    <w:rPr>
                      <w:rFonts w:cstheme="minorHAnsi"/>
                      <w:sz w:val="18"/>
                      <w:szCs w:val="18"/>
                    </w:rPr>
                  </w:pPr>
                </w:p>
              </w:tc>
              <w:tc>
                <w:tcPr>
                  <w:tcW w:w="3568" w:type="dxa"/>
                </w:tcPr>
                <w:p w14:paraId="5AFC814E"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 xml:space="preserve">International Fertilizer </w:t>
                  </w:r>
                  <w:proofErr w:type="gramStart"/>
                  <w:r w:rsidRPr="00D701AE">
                    <w:rPr>
                      <w:rFonts w:cstheme="minorHAnsi"/>
                      <w:sz w:val="18"/>
                      <w:szCs w:val="18"/>
                      <w14:ligatures w14:val="standardContextual"/>
                    </w:rPr>
                    <w:t>Association</w:t>
                  </w:r>
                  <w:r w:rsidRPr="00D701AE" w:rsidDel="008D7D17">
                    <w:rPr>
                      <w:rFonts w:cstheme="minorHAnsi"/>
                      <w:sz w:val="18"/>
                      <w:szCs w:val="18"/>
                    </w:rPr>
                    <w:t xml:space="preserve"> </w:t>
                  </w:r>
                  <w:r w:rsidRPr="00D701AE">
                    <w:rPr>
                      <w:rFonts w:cstheme="minorHAnsi"/>
                      <w:sz w:val="18"/>
                      <w:szCs w:val="18"/>
                    </w:rPr>
                    <w:t>,</w:t>
                  </w:r>
                  <w:proofErr w:type="gramEnd"/>
                  <w:r w:rsidRPr="00D701AE">
                    <w:rPr>
                      <w:rFonts w:cstheme="minorHAnsi"/>
                      <w:sz w:val="18"/>
                      <w:szCs w:val="18"/>
                    </w:rPr>
                    <w:t xml:space="preserve"> Urea consumption (updates 2010-2019) and production (updates 2020) statistics, 2022</w:t>
                  </w:r>
                  <w:r w:rsidRPr="00D701AE" w:rsidDel="005A25C1">
                    <w:rPr>
                      <w:rFonts w:cstheme="minorHAnsi"/>
                      <w:sz w:val="18"/>
                      <w:szCs w:val="18"/>
                    </w:rPr>
                    <w:t xml:space="preserve"> </w:t>
                  </w:r>
                  <w:r w:rsidRPr="00D701AE" w:rsidDel="005A25C1">
                    <w:rPr>
                      <w:rFonts w:cstheme="minorHAnsi"/>
                      <w:sz w:val="18"/>
                      <w:szCs w:val="18"/>
                      <w14:ligatures w14:val="standardContextual"/>
                    </w:rPr>
                    <w:t>(</w:t>
                  </w:r>
                  <w:r w:rsidRPr="00D701AE">
                    <w:rPr>
                      <w:rFonts w:cstheme="minorHAnsi"/>
                      <w:sz w:val="18"/>
                      <w:szCs w:val="18"/>
                      <w14:ligatures w14:val="standardContextual"/>
                    </w:rPr>
                    <w:t xml:space="preserve">https://www.ifastat.org/)) </w:t>
                  </w:r>
                </w:p>
              </w:tc>
              <w:tc>
                <w:tcPr>
                  <w:tcW w:w="2528" w:type="dxa"/>
                </w:tcPr>
                <w:p w14:paraId="23F975DD"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Application of urea; l</w:t>
                  </w:r>
                  <w:r w:rsidRPr="00D701AE">
                    <w:rPr>
                      <w:rFonts w:cstheme="minorHAnsi"/>
                      <w:sz w:val="18"/>
                      <w:szCs w:val="18"/>
                    </w:rPr>
                    <w:t>ast access June 2023</w:t>
                  </w:r>
                </w:p>
              </w:tc>
            </w:tr>
            <w:tr w:rsidR="002C252B" w14:paraId="75B79019" w14:textId="77777777" w:rsidTr="00D92EDD">
              <w:tc>
                <w:tcPr>
                  <w:tcW w:w="1465" w:type="dxa"/>
                  <w:vMerge w:val="restart"/>
                  <w:shd w:val="clear" w:color="auto" w:fill="D9E2F3" w:themeFill="accent1" w:themeFillTint="33"/>
                </w:tcPr>
                <w:p w14:paraId="7F4EDAC6" w14:textId="349B3532" w:rsidR="002C252B" w:rsidRPr="00D701AE" w:rsidRDefault="002C252B" w:rsidP="002C252B">
                  <w:pPr>
                    <w:rPr>
                      <w:rFonts w:cstheme="minorHAnsi"/>
                      <w:sz w:val="18"/>
                      <w:szCs w:val="18"/>
                    </w:rPr>
                  </w:pPr>
                  <w:r w:rsidRPr="00D701AE">
                    <w:rPr>
                      <w:rFonts w:cstheme="minorHAnsi"/>
                      <w:sz w:val="18"/>
                      <w:szCs w:val="18"/>
                    </w:rPr>
                    <w:t xml:space="preserve">Land use, land use change, and Forestry (LULUCF), including wildfires </w:t>
                  </w:r>
                  <w:proofErr w:type="gramStart"/>
                  <w:r w:rsidRPr="00D701AE">
                    <w:rPr>
                      <w:rFonts w:cstheme="minorHAnsi"/>
                      <w:sz w:val="18"/>
                      <w:szCs w:val="18"/>
                    </w:rPr>
                    <w:t>for  global</w:t>
                  </w:r>
                  <w:proofErr w:type="gramEnd"/>
                  <w:r w:rsidRPr="00D701AE">
                    <w:rPr>
                      <w:rFonts w:cstheme="minorHAnsi"/>
                      <w:sz w:val="18"/>
                      <w:szCs w:val="18"/>
                    </w:rPr>
                    <w:t xml:space="preserve"> results</w:t>
                  </w:r>
                </w:p>
              </w:tc>
              <w:tc>
                <w:tcPr>
                  <w:tcW w:w="3568" w:type="dxa"/>
                  <w:shd w:val="clear" w:color="auto" w:fill="D9E2F3" w:themeFill="accent1" w:themeFillTint="33"/>
                </w:tcPr>
                <w:p w14:paraId="0F2BCF39" w14:textId="77777777" w:rsidR="002C252B" w:rsidRPr="00D701AE" w:rsidRDefault="002C252B" w:rsidP="002C252B">
                  <w:pPr>
                    <w:rPr>
                      <w:rFonts w:cstheme="minorHAnsi"/>
                      <w:sz w:val="18"/>
                      <w:szCs w:val="18"/>
                    </w:rPr>
                  </w:pPr>
                  <w:r w:rsidRPr="00D701AE">
                    <w:rPr>
                      <w:rFonts w:cstheme="minorHAnsi"/>
                      <w:sz w:val="18"/>
                      <w:szCs w:val="18"/>
                    </w:rPr>
                    <w:t xml:space="preserve">Grassi G., et al., Carbon fluxes from land 2000–2020: bringing clarity on countries’ reporting, Earth Syst. Sci. Data, 14, 4643–4666, 2022 </w:t>
                  </w:r>
                  <w:r w:rsidRPr="00BF68CC">
                    <w:rPr>
                      <w:sz w:val="18"/>
                      <w:szCs w:val="18"/>
                    </w:rPr>
                    <w:t>(</w:t>
                  </w:r>
                  <w:hyperlink r:id="rId14" w:history="1">
                    <w:r w:rsidRPr="00BF68CC">
                      <w:rPr>
                        <w:rStyle w:val="Hyperlink"/>
                        <w:sz w:val="18"/>
                        <w:szCs w:val="18"/>
                      </w:rPr>
                      <w:t>https://essd.copernicus.org/articles/14/4643/2022/</w:t>
                    </w:r>
                  </w:hyperlink>
                  <w:r w:rsidRPr="00BF68CC">
                    <w:rPr>
                      <w:sz w:val="18"/>
                      <w:szCs w:val="18"/>
                    </w:rPr>
                    <w:t>)</w:t>
                  </w:r>
                </w:p>
                <w:p w14:paraId="1EB989C3" w14:textId="77777777" w:rsidR="002C252B" w:rsidRPr="00D701AE" w:rsidRDefault="002C252B" w:rsidP="002C252B">
                  <w:pPr>
                    <w:rPr>
                      <w:rFonts w:cstheme="minorHAnsi"/>
                      <w:sz w:val="18"/>
                      <w:szCs w:val="18"/>
                    </w:rPr>
                  </w:pPr>
                </w:p>
                <w:p w14:paraId="4EE6BF54"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rPr>
                    <w:t xml:space="preserve">Grassi G., et al., </w:t>
                  </w:r>
                  <w:proofErr w:type="spellStart"/>
                  <w:r w:rsidRPr="00D701AE">
                    <w:rPr>
                      <w:rFonts w:cstheme="minorHAnsi"/>
                      <w:sz w:val="18"/>
                      <w:szCs w:val="18"/>
                      <w14:ligatures w14:val="standardContextual"/>
                    </w:rPr>
                    <w:t>Harmonising</w:t>
                  </w:r>
                  <w:proofErr w:type="spellEnd"/>
                  <w:r w:rsidRPr="00D701AE">
                    <w:rPr>
                      <w:rFonts w:cstheme="minorHAnsi"/>
                      <w:sz w:val="18"/>
                      <w:szCs w:val="18"/>
                      <w14:ligatures w14:val="standardContextual"/>
                    </w:rPr>
                    <w:t xml:space="preserve"> the Land-Use flux estimates of global models and national</w:t>
                  </w:r>
                </w:p>
                <w:p w14:paraId="0546C9EB"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inventories for 2000-2020, Earth System Science Data, 15, 1093-1114, 2023 (https://zenodo.org/records/7650360#.Y--</w:t>
                  </w:r>
                  <w:proofErr w:type="spellStart"/>
                  <w:r w:rsidRPr="00D701AE">
                    <w:rPr>
                      <w:rFonts w:cstheme="minorHAnsi"/>
                      <w:sz w:val="18"/>
                      <w:szCs w:val="18"/>
                      <w14:ligatures w14:val="standardContextual"/>
                    </w:rPr>
                    <w:t>pNuzMJcA</w:t>
                  </w:r>
                  <w:proofErr w:type="spellEnd"/>
                  <w:r w:rsidRPr="00D701AE">
                    <w:rPr>
                      <w:rFonts w:cstheme="minorHAnsi"/>
                      <w:sz w:val="18"/>
                      <w:szCs w:val="18"/>
                      <w14:ligatures w14:val="standardContextual"/>
                    </w:rPr>
                    <w:t>)</w:t>
                  </w:r>
                </w:p>
              </w:tc>
              <w:tc>
                <w:tcPr>
                  <w:tcW w:w="2528" w:type="dxa"/>
                  <w:shd w:val="clear" w:color="auto" w:fill="D9E2F3" w:themeFill="accent1" w:themeFillTint="33"/>
                </w:tcPr>
                <w:p w14:paraId="07BCEC07" w14:textId="77777777" w:rsidR="002C252B" w:rsidRPr="00D701AE" w:rsidDel="005A5A24" w:rsidRDefault="002C252B" w:rsidP="002C252B">
                  <w:pPr>
                    <w:rPr>
                      <w:rFonts w:cstheme="minorHAnsi"/>
                      <w:sz w:val="18"/>
                      <w:szCs w:val="18"/>
                    </w:rPr>
                  </w:pPr>
                  <w:r w:rsidRPr="00D701AE">
                    <w:rPr>
                      <w:rFonts w:cstheme="minorHAnsi"/>
                      <w:sz w:val="18"/>
                      <w:szCs w:val="18"/>
                    </w:rPr>
                    <w:t>Deforestation, non-biomass forest pools and non-forest categories (cropland, grassland, wetlands, settlements), organic Soils; data coverage year 2000-2020</w:t>
                  </w:r>
                </w:p>
              </w:tc>
            </w:tr>
            <w:tr w:rsidR="002C252B" w14:paraId="5614DC73" w14:textId="77777777" w:rsidTr="00D92EDD">
              <w:tc>
                <w:tcPr>
                  <w:tcW w:w="1465" w:type="dxa"/>
                  <w:vMerge/>
                </w:tcPr>
                <w:p w14:paraId="1E1FFAD5"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4BE678A6" w14:textId="77777777" w:rsidR="002C252B" w:rsidRPr="00D701AE" w:rsidRDefault="002C252B" w:rsidP="002C252B">
                  <w:pPr>
                    <w:rPr>
                      <w:rFonts w:cstheme="minorHAnsi"/>
                      <w:sz w:val="18"/>
                      <w:szCs w:val="18"/>
                    </w:rPr>
                  </w:pPr>
                  <w:r w:rsidRPr="00D701AE">
                    <w:rPr>
                      <w:rFonts w:cstheme="minorHAnsi"/>
                      <w:sz w:val="18"/>
                      <w:szCs w:val="18"/>
                    </w:rPr>
                    <w:t xml:space="preserve">Global Wildfire Information System (GWIS) </w:t>
                  </w:r>
                  <w:r w:rsidRPr="00D701AE">
                    <w:rPr>
                      <w:rFonts w:cstheme="minorHAnsi"/>
                      <w:sz w:val="18"/>
                      <w:szCs w:val="18"/>
                      <w14:ligatures w14:val="standardContextual"/>
                    </w:rPr>
                    <w:t>(https://gwis.jrc.ec.europa.eu/)</w:t>
                  </w:r>
                </w:p>
              </w:tc>
              <w:tc>
                <w:tcPr>
                  <w:tcW w:w="2528" w:type="dxa"/>
                  <w:shd w:val="clear" w:color="auto" w:fill="D9E2F3" w:themeFill="accent1" w:themeFillTint="33"/>
                </w:tcPr>
                <w:p w14:paraId="63AF45C7"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Wildfire emissions in non-tropical regions</w:t>
                  </w:r>
                </w:p>
              </w:tc>
            </w:tr>
            <w:tr w:rsidR="002C252B" w14:paraId="435D3168" w14:textId="77777777" w:rsidTr="00D92EDD">
              <w:tc>
                <w:tcPr>
                  <w:tcW w:w="1465" w:type="dxa"/>
                  <w:vMerge/>
                </w:tcPr>
                <w:p w14:paraId="795A1CF6"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11160CDF"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Copernicus Climate Change Service</w:t>
                  </w:r>
                </w:p>
                <w:p w14:paraId="15F87219"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14:ligatures w14:val="standardContextual"/>
                    </w:rPr>
                    <w:t>(C3S), Land cover classification gridded</w:t>
                  </w:r>
                </w:p>
                <w:p w14:paraId="773DED90"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maps from 1992 to present derived from satellite observations</w:t>
                  </w:r>
                  <w:r w:rsidRPr="00D701AE">
                    <w:rPr>
                      <w:rFonts w:cstheme="minorHAnsi"/>
                      <w:sz w:val="18"/>
                      <w:szCs w:val="18"/>
                    </w:rPr>
                    <w:t xml:space="preserve"> </w:t>
                  </w:r>
                  <w:r w:rsidRPr="00D701AE">
                    <w:rPr>
                      <w:rFonts w:cstheme="minorHAnsi"/>
                      <w:sz w:val="18"/>
                      <w:szCs w:val="18"/>
                      <w14:ligatures w14:val="standardContextual"/>
                    </w:rPr>
                    <w:t>(https://cds.climate.copernicus.eu/cdsapp#!/dataset/satellite-land-cover?tab=overview)</w:t>
                  </w:r>
                </w:p>
              </w:tc>
              <w:tc>
                <w:tcPr>
                  <w:tcW w:w="2528" w:type="dxa"/>
                  <w:shd w:val="clear" w:color="auto" w:fill="D9E2F3" w:themeFill="accent1" w:themeFillTint="33"/>
                </w:tcPr>
                <w:p w14:paraId="1DCFAE44" w14:textId="77777777" w:rsidR="002C252B" w:rsidRPr="00D701AE" w:rsidRDefault="002C252B" w:rsidP="002C252B">
                  <w:pPr>
                    <w:rPr>
                      <w:rFonts w:cstheme="minorHAnsi"/>
                      <w:sz w:val="18"/>
                      <w:szCs w:val="18"/>
                    </w:rPr>
                  </w:pPr>
                  <w:r w:rsidRPr="00D701AE">
                    <w:rPr>
                      <w:rFonts w:cstheme="minorHAnsi"/>
                      <w:sz w:val="18"/>
                      <w:szCs w:val="18"/>
                    </w:rPr>
                    <w:t>Emissions from forest (biomass only, estimated with an IPCC tier 1 approach)</w:t>
                  </w:r>
                </w:p>
              </w:tc>
            </w:tr>
            <w:tr w:rsidR="002C252B" w14:paraId="4863FCCA" w14:textId="77777777" w:rsidTr="00D92EDD">
              <w:tc>
                <w:tcPr>
                  <w:tcW w:w="1465" w:type="dxa"/>
                  <w:vMerge/>
                </w:tcPr>
                <w:p w14:paraId="693D404A"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6DD84B18"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FAOSTAT, 2023</w:t>
                  </w:r>
                  <w:r w:rsidRPr="00D701AE">
                    <w:rPr>
                      <w:rFonts w:cstheme="minorHAnsi"/>
                      <w:sz w:val="18"/>
                      <w:szCs w:val="18"/>
                    </w:rPr>
                    <w:t xml:space="preserve"> </w:t>
                  </w:r>
                  <w:r w:rsidRPr="00D701AE">
                    <w:rPr>
                      <w:rFonts w:cstheme="minorHAnsi"/>
                      <w:sz w:val="18"/>
                      <w:szCs w:val="18"/>
                      <w14:ligatures w14:val="standardContextual"/>
                    </w:rPr>
                    <w:t>(https://www.fao.org/faostat)</w:t>
                  </w:r>
                </w:p>
              </w:tc>
              <w:tc>
                <w:tcPr>
                  <w:tcW w:w="2528" w:type="dxa"/>
                  <w:shd w:val="clear" w:color="auto" w:fill="D9E2F3" w:themeFill="accent1" w:themeFillTint="33"/>
                </w:tcPr>
                <w:p w14:paraId="1DC5CD5C" w14:textId="77777777" w:rsidR="002C252B" w:rsidRPr="00D701AE" w:rsidRDefault="002C252B" w:rsidP="002C252B">
                  <w:pPr>
                    <w:rPr>
                      <w:rFonts w:cstheme="minorHAnsi"/>
                      <w:sz w:val="18"/>
                      <w:szCs w:val="18"/>
                    </w:rPr>
                  </w:pPr>
                  <w:r w:rsidRPr="00D701AE">
                    <w:rPr>
                      <w:rFonts w:cstheme="minorHAnsi"/>
                      <w:sz w:val="18"/>
                      <w:szCs w:val="18"/>
                    </w:rPr>
                    <w:t>Country harvest production statistics</w:t>
                  </w:r>
                </w:p>
              </w:tc>
            </w:tr>
            <w:tr w:rsidR="002C252B" w14:paraId="136CFF6C" w14:textId="77777777" w:rsidTr="00D92EDD">
              <w:tc>
                <w:tcPr>
                  <w:tcW w:w="1465" w:type="dxa"/>
                  <w:vMerge/>
                </w:tcPr>
                <w:p w14:paraId="3EE5BE54"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0EC37A67" w14:textId="77777777" w:rsidR="002C252B" w:rsidRPr="00D701AE" w:rsidRDefault="002C252B" w:rsidP="002C252B">
                  <w:pPr>
                    <w:rPr>
                      <w:rFonts w:cstheme="minorHAnsi"/>
                      <w:sz w:val="18"/>
                      <w:szCs w:val="18"/>
                    </w:rPr>
                  </w:pPr>
                  <w:r w:rsidRPr="00D701AE">
                    <w:rPr>
                      <w:rFonts w:cstheme="minorHAnsi"/>
                      <w:sz w:val="18"/>
                      <w:szCs w:val="18"/>
                      <w14:ligatures w14:val="standardContextual"/>
                    </w:rPr>
                    <w:t>FAO, Global Ecological Zones (</w:t>
                  </w:r>
                  <w:proofErr w:type="gramStart"/>
                  <w:r w:rsidRPr="00D701AE">
                    <w:rPr>
                      <w:rFonts w:cstheme="minorHAnsi"/>
                      <w:sz w:val="18"/>
                      <w:szCs w:val="18"/>
                      <w14:ligatures w14:val="standardContextual"/>
                    </w:rPr>
                    <w:t xml:space="preserve">GEZ) </w:t>
                  </w:r>
                  <w:r w:rsidRPr="00D701AE">
                    <w:rPr>
                      <w:rFonts w:cstheme="minorHAnsi"/>
                      <w:sz w:val="18"/>
                      <w:szCs w:val="18"/>
                    </w:rPr>
                    <w:t xml:space="preserve"> </w:t>
                  </w:r>
                  <w:r w:rsidRPr="00D701AE">
                    <w:rPr>
                      <w:rFonts w:cstheme="minorHAnsi"/>
                      <w:sz w:val="18"/>
                      <w:szCs w:val="18"/>
                      <w14:ligatures w14:val="standardContextual"/>
                    </w:rPr>
                    <w:t>(</w:t>
                  </w:r>
                  <w:proofErr w:type="gramEnd"/>
                  <w:r w:rsidRPr="00D701AE">
                    <w:rPr>
                      <w:rFonts w:cstheme="minorHAnsi"/>
                      <w:sz w:val="18"/>
                      <w:szCs w:val="18"/>
                      <w14:ligatures w14:val="standardContextual"/>
                    </w:rPr>
                    <w:t>https://www.fao.org/forest-resources-assessment/remote-sensing/global-ecological-zones-gez-mapping/en/)</w:t>
                  </w:r>
                </w:p>
              </w:tc>
              <w:tc>
                <w:tcPr>
                  <w:tcW w:w="2528" w:type="dxa"/>
                  <w:shd w:val="clear" w:color="auto" w:fill="D9E2F3" w:themeFill="accent1" w:themeFillTint="33"/>
                </w:tcPr>
                <w:p w14:paraId="7C3B8BBE" w14:textId="77777777" w:rsidR="002C252B" w:rsidRPr="00D701AE" w:rsidRDefault="002C252B" w:rsidP="002C252B">
                  <w:pPr>
                    <w:rPr>
                      <w:rFonts w:cstheme="minorHAnsi"/>
                      <w:sz w:val="18"/>
                      <w:szCs w:val="18"/>
                    </w:rPr>
                  </w:pPr>
                  <w:r w:rsidRPr="00D701AE">
                    <w:rPr>
                      <w:rFonts w:cstheme="minorHAnsi"/>
                      <w:sz w:val="18"/>
                      <w:szCs w:val="18"/>
                    </w:rPr>
                    <w:t xml:space="preserve">Spatial and statistical forest data </w:t>
                  </w:r>
                </w:p>
              </w:tc>
            </w:tr>
            <w:tr w:rsidR="002C252B" w14:paraId="68075FAC" w14:textId="77777777" w:rsidTr="00D92EDD">
              <w:tc>
                <w:tcPr>
                  <w:tcW w:w="1465" w:type="dxa"/>
                  <w:vMerge/>
                </w:tcPr>
                <w:p w14:paraId="578F8E67" w14:textId="77777777" w:rsidR="002C252B" w:rsidRPr="00D701AE" w:rsidRDefault="002C252B" w:rsidP="002C252B">
                  <w:pPr>
                    <w:rPr>
                      <w:rFonts w:cstheme="minorHAnsi"/>
                      <w:sz w:val="18"/>
                      <w:szCs w:val="18"/>
                    </w:rPr>
                  </w:pPr>
                </w:p>
              </w:tc>
              <w:tc>
                <w:tcPr>
                  <w:tcW w:w="3568" w:type="dxa"/>
                  <w:shd w:val="clear" w:color="auto" w:fill="D9E2F3" w:themeFill="accent1" w:themeFillTint="33"/>
                </w:tcPr>
                <w:p w14:paraId="3956D9CA"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FAO, Global Forest Resource Assessment (FRA)</w:t>
                  </w:r>
                  <w:r w:rsidRPr="00D701AE">
                    <w:rPr>
                      <w:rFonts w:cstheme="minorHAnsi"/>
                      <w:sz w:val="18"/>
                      <w:szCs w:val="18"/>
                    </w:rPr>
                    <w:t xml:space="preserve"> </w:t>
                  </w:r>
                  <w:r w:rsidRPr="00D701AE">
                    <w:rPr>
                      <w:rFonts w:cstheme="minorHAnsi"/>
                      <w:sz w:val="18"/>
                      <w:szCs w:val="18"/>
                      <w14:ligatures w14:val="standardContextual"/>
                    </w:rPr>
                    <w:t>(https://www.fao.org/forest-resources-assessment/en/)</w:t>
                  </w:r>
                </w:p>
              </w:tc>
              <w:tc>
                <w:tcPr>
                  <w:tcW w:w="2528" w:type="dxa"/>
                  <w:shd w:val="clear" w:color="auto" w:fill="D9E2F3" w:themeFill="accent1" w:themeFillTint="33"/>
                </w:tcPr>
                <w:p w14:paraId="53EDE217" w14:textId="77777777" w:rsidR="002C252B" w:rsidRPr="00D701AE" w:rsidRDefault="002C252B" w:rsidP="002C252B">
                  <w:pPr>
                    <w:rPr>
                      <w:rFonts w:cstheme="minorHAnsi"/>
                      <w:sz w:val="18"/>
                      <w:szCs w:val="18"/>
                    </w:rPr>
                  </w:pPr>
                  <w:r w:rsidRPr="00D701AE">
                    <w:rPr>
                      <w:rFonts w:cstheme="minorHAnsi"/>
                      <w:sz w:val="18"/>
                      <w:szCs w:val="18"/>
                    </w:rPr>
                    <w:t>Spatial and statistical forest data</w:t>
                  </w:r>
                </w:p>
              </w:tc>
            </w:tr>
            <w:tr w:rsidR="002C252B" w14:paraId="050A6038" w14:textId="77777777" w:rsidTr="00D92EDD">
              <w:tc>
                <w:tcPr>
                  <w:tcW w:w="1465" w:type="dxa"/>
                  <w:shd w:val="clear" w:color="auto" w:fill="auto"/>
                </w:tcPr>
                <w:p w14:paraId="7DEE4915" w14:textId="77777777" w:rsidR="002C252B" w:rsidRPr="00D701AE" w:rsidRDefault="002C252B" w:rsidP="002C252B">
                  <w:pPr>
                    <w:rPr>
                      <w:rFonts w:cstheme="minorHAnsi"/>
                      <w:sz w:val="18"/>
                      <w:szCs w:val="18"/>
                    </w:rPr>
                  </w:pPr>
                  <w:r w:rsidRPr="00D701AE">
                    <w:rPr>
                      <w:rFonts w:cstheme="minorHAnsi"/>
                      <w:sz w:val="18"/>
                      <w:szCs w:val="18"/>
                    </w:rPr>
                    <w:t>Land use, land use change, and Forestry (LULUCF), including wildfires for national-level results</w:t>
                  </w:r>
                </w:p>
              </w:tc>
              <w:tc>
                <w:tcPr>
                  <w:tcW w:w="3568" w:type="dxa"/>
                  <w:shd w:val="clear" w:color="auto" w:fill="auto"/>
                </w:tcPr>
                <w:p w14:paraId="3976B7A5" w14:textId="77777777" w:rsidR="002C252B" w:rsidRPr="00D701AE" w:rsidRDefault="002C252B" w:rsidP="002C252B">
                  <w:pPr>
                    <w:autoSpaceDE w:val="0"/>
                    <w:autoSpaceDN w:val="0"/>
                    <w:adjustRightInd w:val="0"/>
                    <w:rPr>
                      <w:rFonts w:cstheme="minorHAnsi"/>
                      <w:sz w:val="18"/>
                      <w:szCs w:val="18"/>
                      <w14:ligatures w14:val="standardContextual"/>
                    </w:rPr>
                  </w:pPr>
                  <w:r w:rsidRPr="00D701AE">
                    <w:rPr>
                      <w:rFonts w:cstheme="minorHAnsi"/>
                      <w:sz w:val="18"/>
                      <w:szCs w:val="18"/>
                    </w:rPr>
                    <w:t xml:space="preserve">Grassi G., et al., </w:t>
                  </w:r>
                  <w:proofErr w:type="spellStart"/>
                  <w:r w:rsidRPr="00D701AE">
                    <w:rPr>
                      <w:rFonts w:cstheme="minorHAnsi"/>
                      <w:sz w:val="18"/>
                      <w:szCs w:val="18"/>
                      <w14:ligatures w14:val="standardContextual"/>
                    </w:rPr>
                    <w:t>Harmonising</w:t>
                  </w:r>
                  <w:proofErr w:type="spellEnd"/>
                  <w:r w:rsidRPr="00D701AE">
                    <w:rPr>
                      <w:rFonts w:cstheme="minorHAnsi"/>
                      <w:sz w:val="18"/>
                      <w:szCs w:val="18"/>
                      <w14:ligatures w14:val="standardContextual"/>
                    </w:rPr>
                    <w:t xml:space="preserve"> the Land-Use flux estimates of global models and national</w:t>
                  </w:r>
                </w:p>
                <w:p w14:paraId="1A700917" w14:textId="77777777" w:rsidR="002C252B" w:rsidRPr="00D701AE" w:rsidRDefault="002C252B" w:rsidP="002C252B">
                  <w:pPr>
                    <w:rPr>
                      <w:rFonts w:cstheme="minorHAnsi"/>
                      <w:sz w:val="18"/>
                      <w:szCs w:val="18"/>
                      <w14:ligatures w14:val="standardContextual"/>
                    </w:rPr>
                  </w:pPr>
                  <w:r w:rsidRPr="00D701AE">
                    <w:rPr>
                      <w:rFonts w:cstheme="minorHAnsi"/>
                      <w:sz w:val="18"/>
                      <w:szCs w:val="18"/>
                      <w14:ligatures w14:val="standardContextual"/>
                    </w:rPr>
                    <w:t>inventories for 2000-2020, Earth System Science Data, 15, 1093-1114, 2023 (https://zenodo.org/records/7650360#.Y--</w:t>
                  </w:r>
                  <w:proofErr w:type="spellStart"/>
                  <w:r w:rsidRPr="00D701AE">
                    <w:rPr>
                      <w:rFonts w:cstheme="minorHAnsi"/>
                      <w:sz w:val="18"/>
                      <w:szCs w:val="18"/>
                      <w14:ligatures w14:val="standardContextual"/>
                    </w:rPr>
                    <w:t>pNuzMJcA</w:t>
                  </w:r>
                  <w:proofErr w:type="spellEnd"/>
                  <w:r w:rsidRPr="00D701AE">
                    <w:rPr>
                      <w:rFonts w:cstheme="minorHAnsi"/>
                      <w:sz w:val="18"/>
                      <w:szCs w:val="18"/>
                      <w14:ligatures w14:val="standardContextual"/>
                    </w:rPr>
                    <w:t>)</w:t>
                  </w:r>
                </w:p>
              </w:tc>
              <w:tc>
                <w:tcPr>
                  <w:tcW w:w="2528" w:type="dxa"/>
                  <w:shd w:val="clear" w:color="auto" w:fill="auto"/>
                </w:tcPr>
                <w:p w14:paraId="30C04BBE" w14:textId="77777777" w:rsidR="002C252B" w:rsidRPr="00E13ABC" w:rsidRDefault="002C252B" w:rsidP="002C252B">
                  <w:pPr>
                    <w:rPr>
                      <w:rFonts w:cstheme="minorHAnsi"/>
                      <w:sz w:val="18"/>
                      <w:szCs w:val="18"/>
                    </w:rPr>
                  </w:pPr>
                  <w:r w:rsidRPr="00D701AE">
                    <w:rPr>
                      <w:rFonts w:cstheme="minorHAnsi"/>
                      <w:sz w:val="18"/>
                      <w:szCs w:val="18"/>
                    </w:rPr>
                    <w:t>Forest land (forest land remaining forest land (FL-FL) plus land converted to forest land (L-FL), including Harvested Wood Products but excluding organic soils); deforestation (forest land converted to other land used, excluding organic soils); organic soils (organic soils from all land use categories, including peat fires; other land uses including cropland, grassland, wetland, settlement, and other land, if not included in categories above; data coverage year 2000-2020</w:t>
                  </w:r>
                </w:p>
              </w:tc>
            </w:tr>
          </w:tbl>
          <w:p w14:paraId="6FDDF4F0" w14:textId="20F28BB5" w:rsidR="002C252B" w:rsidRPr="00D701AE" w:rsidRDefault="002C252B" w:rsidP="00F00C41">
            <w:pPr>
              <w:spacing w:after="0" w:line="240" w:lineRule="auto"/>
              <w:ind w:right="75"/>
              <w:textAlignment w:val="baseline"/>
              <w:rPr>
                <w:rFonts w:eastAsia="Times New Roman" w:cstheme="minorHAnsi"/>
                <w:sz w:val="18"/>
                <w:szCs w:val="18"/>
              </w:rPr>
            </w:pPr>
          </w:p>
        </w:tc>
      </w:tr>
      <w:tr w:rsidR="00CC6D15" w:rsidRPr="0054513B" w14:paraId="046D2E61" w14:textId="77777777" w:rsidTr="2BFF1B7A">
        <w:trPr>
          <w:trHeight w:val="669"/>
        </w:trPr>
        <w:tc>
          <w:tcPr>
            <w:tcW w:w="76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A007910" w14:textId="77777777" w:rsidR="00CC6D15"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Method of calculation</w:t>
            </w:r>
          </w:p>
          <w:p w14:paraId="4CC4CD55" w14:textId="3ECC681F" w:rsidR="008E0EDE" w:rsidRPr="008E0EDE" w:rsidRDefault="008E0EDE" w:rsidP="00CC6D15">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573F3" w:rsidRPr="00E573F3">
              <w:rPr>
                <w:rFonts w:ascii="Times New Roman" w:eastAsia="Times New Roman" w:hAnsi="Times New Roman" w:cs="Times New Roman"/>
                <w:sz w:val="20"/>
                <w:szCs w:val="20"/>
              </w:rPr>
              <w:t>Core</w:t>
            </w:r>
            <w:r w:rsidRPr="005639E6">
              <w:rPr>
                <w:rFonts w:ascii="Times New Roman" w:eastAsia="Times New Roman" w:hAnsi="Times New Roman" w:cs="Times New Roman"/>
                <w:sz w:val="20"/>
                <w:szCs w:val="20"/>
              </w:rPr>
              <w:t xml:space="preserve"> calculation)</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3113FA"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77804FB6" w14:textId="7F1117C8" w:rsidR="00CC6D15" w:rsidRPr="009C4B4C" w:rsidRDefault="00CC6D15" w:rsidP="00142E13">
            <w:pPr>
              <w:spacing w:after="0" w:line="240" w:lineRule="auto"/>
              <w:ind w:right="75"/>
              <w:textAlignment w:val="baseline"/>
              <w:rPr>
                <w:rFonts w:ascii="Times New Roman" w:eastAsia="Times New Roman" w:hAnsi="Times New Roman" w:cs="Times New Roman"/>
                <w:b/>
                <w:bCs/>
                <w:i/>
                <w:iCs/>
                <w:sz w:val="20"/>
                <w:szCs w:val="20"/>
              </w:rPr>
            </w:pPr>
            <w:r w:rsidRPr="009C4B4C">
              <w:rPr>
                <w:rFonts w:ascii="Times New Roman" w:eastAsia="Times New Roman" w:hAnsi="Times New Roman" w:cs="Times New Roman"/>
                <w:b/>
                <w:bCs/>
                <w:i/>
                <w:iCs/>
                <w:sz w:val="20"/>
                <w:szCs w:val="20"/>
              </w:rPr>
              <w:t xml:space="preserve">Describe </w:t>
            </w:r>
            <w:r w:rsidR="00A6659C" w:rsidRPr="009C4B4C">
              <w:rPr>
                <w:rFonts w:ascii="Times New Roman" w:eastAsia="Times New Roman" w:hAnsi="Times New Roman" w:cs="Times New Roman"/>
                <w:b/>
                <w:bCs/>
                <w:i/>
                <w:iCs/>
                <w:sz w:val="20"/>
                <w:szCs w:val="20"/>
              </w:rPr>
              <w:t xml:space="preserve">how the indicator is calculated, including any relevant details related to </w:t>
            </w:r>
            <w:r w:rsidR="00E5389C" w:rsidRPr="009C4B4C">
              <w:rPr>
                <w:rFonts w:ascii="Times New Roman" w:eastAsia="Times New Roman" w:hAnsi="Times New Roman" w:cs="Times New Roman"/>
                <w:b/>
                <w:bCs/>
                <w:i/>
                <w:iCs/>
                <w:sz w:val="20"/>
                <w:szCs w:val="20"/>
              </w:rPr>
              <w:t xml:space="preserve">enumeration or </w:t>
            </w:r>
            <w:r w:rsidR="00A6659C" w:rsidRPr="009C4B4C">
              <w:rPr>
                <w:rFonts w:ascii="Times New Roman" w:eastAsia="Times New Roman" w:hAnsi="Times New Roman" w:cs="Times New Roman"/>
                <w:b/>
                <w:bCs/>
                <w:i/>
                <w:iCs/>
                <w:sz w:val="20"/>
                <w:szCs w:val="20"/>
              </w:rPr>
              <w:t>estimation methods,</w:t>
            </w:r>
            <w:r w:rsidR="003C5805" w:rsidRPr="009C4B4C">
              <w:rPr>
                <w:rFonts w:ascii="Times New Roman" w:eastAsia="Times New Roman" w:hAnsi="Times New Roman" w:cs="Times New Roman"/>
                <w:b/>
                <w:bCs/>
                <w:i/>
                <w:iCs/>
                <w:sz w:val="20"/>
                <w:szCs w:val="20"/>
              </w:rPr>
              <w:t xml:space="preserve"> necessary data substitution(s), inferences for special cases, etc.</w:t>
            </w:r>
            <w:r w:rsidR="009A37BD" w:rsidRPr="009C4B4C">
              <w:rPr>
                <w:rFonts w:ascii="Times New Roman" w:eastAsia="Times New Roman" w:hAnsi="Times New Roman" w:cs="Times New Roman"/>
                <w:b/>
                <w:bCs/>
                <w:i/>
                <w:iCs/>
                <w:sz w:val="20"/>
                <w:szCs w:val="20"/>
              </w:rPr>
              <w:t xml:space="preserve"> If indicator is based on existing methodologies already compiled by another institution, please provide a link to any available technical details.</w:t>
            </w:r>
            <w:r w:rsidR="003C5805" w:rsidRPr="009C4B4C">
              <w:rPr>
                <w:rFonts w:ascii="Times New Roman" w:eastAsia="Times New Roman" w:hAnsi="Times New Roman" w:cs="Times New Roman"/>
                <w:b/>
                <w:bCs/>
                <w:i/>
                <w:iCs/>
                <w:sz w:val="20"/>
                <w:szCs w:val="20"/>
              </w:rPr>
              <w:t xml:space="preserve"> </w:t>
            </w:r>
            <w:r w:rsidR="00167AC6" w:rsidRPr="009C4B4C">
              <w:rPr>
                <w:rFonts w:ascii="Times New Roman" w:eastAsia="Times New Roman" w:hAnsi="Times New Roman" w:cs="Times New Roman"/>
                <w:b/>
                <w:bCs/>
                <w:i/>
                <w:iCs/>
                <w:sz w:val="20"/>
                <w:szCs w:val="20"/>
              </w:rPr>
              <w:t xml:space="preserve">Describe </w:t>
            </w:r>
            <w:r w:rsidR="00E60EFE" w:rsidRPr="009C4B4C">
              <w:rPr>
                <w:rFonts w:ascii="Times New Roman" w:eastAsia="Times New Roman" w:hAnsi="Times New Roman" w:cs="Times New Roman"/>
                <w:b/>
                <w:bCs/>
                <w:i/>
                <w:iCs/>
                <w:sz w:val="20"/>
                <w:szCs w:val="20"/>
              </w:rPr>
              <w:t>any qualitative assessment</w:t>
            </w:r>
            <w:r w:rsidR="0093124D" w:rsidRPr="009C4B4C">
              <w:rPr>
                <w:rFonts w:ascii="Times New Roman" w:eastAsia="Times New Roman" w:hAnsi="Times New Roman" w:cs="Times New Roman"/>
                <w:b/>
                <w:bCs/>
                <w:i/>
                <w:iCs/>
                <w:sz w:val="20"/>
                <w:szCs w:val="20"/>
              </w:rPr>
              <w:t>s</w:t>
            </w:r>
            <w:r w:rsidR="00E60EFE" w:rsidRPr="009C4B4C">
              <w:rPr>
                <w:rFonts w:ascii="Times New Roman" w:eastAsia="Times New Roman" w:hAnsi="Times New Roman" w:cs="Times New Roman"/>
                <w:b/>
                <w:bCs/>
                <w:i/>
                <w:iCs/>
                <w:sz w:val="20"/>
                <w:szCs w:val="20"/>
              </w:rPr>
              <w:t xml:space="preserve"> included.</w:t>
            </w:r>
          </w:p>
          <w:p w14:paraId="5FEAEA8D" w14:textId="1D87E1AF" w:rsidR="00C5190A" w:rsidRDefault="00C5190A" w:rsidP="00BB7ADC">
            <w:pPr>
              <w:spacing w:after="0" w:line="240" w:lineRule="auto"/>
              <w:ind w:right="75"/>
              <w:textAlignment w:val="baseline"/>
              <w:rPr>
                <w:rFonts w:ascii="Times New Roman" w:eastAsia="Times New Roman" w:hAnsi="Times New Roman" w:cs="Times New Roman"/>
                <w:sz w:val="20"/>
                <w:szCs w:val="20"/>
              </w:rPr>
            </w:pPr>
          </w:p>
          <w:p w14:paraId="66E073D5" w14:textId="521930B5" w:rsidR="00DD02A6" w:rsidRPr="007019E7" w:rsidRDefault="00F120DF" w:rsidP="00DD02A6">
            <w:pPr>
              <w:spacing w:after="0" w:line="240" w:lineRule="auto"/>
              <w:ind w:right="75"/>
              <w:textAlignment w:val="baseline"/>
              <w:rPr>
                <w:rFonts w:ascii="Times New Roman" w:eastAsia="Times New Roman" w:hAnsi="Times New Roman" w:cs="Times New Roman"/>
                <w:sz w:val="18"/>
                <w:szCs w:val="18"/>
              </w:rPr>
            </w:pPr>
            <w:r w:rsidRPr="00D5538E">
              <w:rPr>
                <w:rFonts w:ascii="Times New Roman" w:eastAsia="Times New Roman" w:hAnsi="Times New Roman" w:cs="Times New Roman"/>
                <w:sz w:val="18"/>
                <w:szCs w:val="18"/>
              </w:rPr>
              <w:t xml:space="preserve">As mentioned above, </w:t>
            </w:r>
            <w:r w:rsidR="00240ED2" w:rsidRPr="00D5538E">
              <w:rPr>
                <w:rFonts w:ascii="Times New Roman" w:eastAsia="Times New Roman" w:hAnsi="Times New Roman" w:cs="Times New Roman"/>
                <w:sz w:val="18"/>
                <w:szCs w:val="18"/>
              </w:rPr>
              <w:t>t</w:t>
            </w:r>
            <w:r w:rsidR="00EF1F02" w:rsidRPr="00D5538E">
              <w:rPr>
                <w:rFonts w:ascii="Times New Roman" w:eastAsia="Times New Roman" w:hAnsi="Times New Roman" w:cs="Times New Roman"/>
                <w:sz w:val="18"/>
                <w:szCs w:val="18"/>
              </w:rPr>
              <w:t>his GHG emissions</w:t>
            </w:r>
            <w:r w:rsidR="00DD02A6" w:rsidRPr="00D5538E">
              <w:rPr>
                <w:rFonts w:ascii="Times New Roman" w:eastAsia="Times New Roman" w:hAnsi="Times New Roman" w:cs="Times New Roman"/>
                <w:sz w:val="18"/>
                <w:szCs w:val="18"/>
              </w:rPr>
              <w:t xml:space="preserve"> indicator is based on </w:t>
            </w:r>
            <w:r w:rsidR="007C09AF" w:rsidRPr="00D5538E">
              <w:rPr>
                <w:rFonts w:ascii="Times New Roman" w:eastAsia="Times New Roman" w:hAnsi="Times New Roman" w:cs="Times New Roman"/>
                <w:sz w:val="18"/>
                <w:szCs w:val="18"/>
              </w:rPr>
              <w:t>four</w:t>
            </w:r>
            <w:r w:rsidR="00C92428" w:rsidRPr="00D5538E">
              <w:rPr>
                <w:rFonts w:ascii="Times New Roman" w:eastAsia="Times New Roman" w:hAnsi="Times New Roman" w:cs="Times New Roman"/>
                <w:sz w:val="18"/>
                <w:szCs w:val="18"/>
              </w:rPr>
              <w:t xml:space="preserve"> </w:t>
            </w:r>
            <w:r w:rsidR="00DD02A6" w:rsidRPr="00D5538E">
              <w:rPr>
                <w:rFonts w:ascii="Times New Roman" w:eastAsia="Times New Roman" w:hAnsi="Times New Roman" w:cs="Times New Roman"/>
                <w:sz w:val="18"/>
                <w:szCs w:val="18"/>
              </w:rPr>
              <w:t>data sources</w:t>
            </w:r>
            <w:r w:rsidR="009407FC" w:rsidRPr="00D5538E">
              <w:rPr>
                <w:rFonts w:ascii="Times New Roman" w:eastAsia="Times New Roman" w:hAnsi="Times New Roman" w:cs="Times New Roman"/>
                <w:sz w:val="18"/>
                <w:szCs w:val="18"/>
              </w:rPr>
              <w:t xml:space="preserve">: </w:t>
            </w:r>
            <w:r w:rsidR="002A5F80" w:rsidRPr="00D5538E">
              <w:rPr>
                <w:rFonts w:ascii="Times New Roman" w:eastAsia="Times New Roman" w:hAnsi="Times New Roman" w:cs="Times New Roman"/>
                <w:sz w:val="18"/>
                <w:szCs w:val="18"/>
              </w:rPr>
              <w:t>(1)</w:t>
            </w:r>
            <w:r w:rsidR="00526555" w:rsidRPr="00D5538E">
              <w:rPr>
                <w:rFonts w:ascii="Times New Roman" w:eastAsia="Times New Roman" w:hAnsi="Times New Roman" w:cs="Times New Roman"/>
                <w:sz w:val="18"/>
                <w:szCs w:val="18"/>
              </w:rPr>
              <w:t xml:space="preserve"> </w:t>
            </w:r>
            <w:r w:rsidR="00995F7B" w:rsidRPr="00D5538E">
              <w:rPr>
                <w:rFonts w:ascii="Times New Roman" w:eastAsia="Times New Roman" w:hAnsi="Times New Roman" w:cs="Times New Roman"/>
                <w:sz w:val="18"/>
                <w:szCs w:val="18"/>
              </w:rPr>
              <w:t xml:space="preserve">the </w:t>
            </w:r>
            <w:r w:rsidR="0053675B" w:rsidRPr="00D5538E">
              <w:rPr>
                <w:rFonts w:ascii="Times New Roman" w:eastAsia="Times New Roman" w:hAnsi="Times New Roman" w:cs="Times New Roman"/>
                <w:sz w:val="18"/>
                <w:szCs w:val="18"/>
              </w:rPr>
              <w:t>global</w:t>
            </w:r>
            <w:r w:rsidR="009943A3" w:rsidRPr="00D5538E">
              <w:rPr>
                <w:rFonts w:ascii="Times New Roman" w:eastAsia="Times New Roman" w:hAnsi="Times New Roman" w:cs="Times New Roman"/>
                <w:sz w:val="18"/>
                <w:szCs w:val="18"/>
              </w:rPr>
              <w:t xml:space="preserve"> </w:t>
            </w:r>
            <w:r w:rsidR="004C1CC4" w:rsidRPr="00D5538E">
              <w:rPr>
                <w:rFonts w:ascii="Times New Roman" w:eastAsia="Times New Roman" w:hAnsi="Times New Roman" w:cs="Times New Roman"/>
                <w:sz w:val="18"/>
                <w:szCs w:val="18"/>
              </w:rPr>
              <w:t xml:space="preserve">non-LULUCF </w:t>
            </w:r>
            <w:r w:rsidR="002C5CE0" w:rsidRPr="00D5538E">
              <w:rPr>
                <w:rFonts w:ascii="Times New Roman" w:eastAsia="Times New Roman" w:hAnsi="Times New Roman" w:cs="Times New Roman"/>
                <w:sz w:val="18"/>
                <w:szCs w:val="18"/>
              </w:rPr>
              <w:t xml:space="preserve">emissions </w:t>
            </w:r>
            <w:r w:rsidR="0053675B" w:rsidRPr="00D5538E">
              <w:rPr>
                <w:rFonts w:ascii="Times New Roman" w:eastAsia="Times New Roman" w:hAnsi="Times New Roman" w:cs="Times New Roman"/>
                <w:sz w:val="18"/>
                <w:szCs w:val="18"/>
              </w:rPr>
              <w:t>dataset underlyin</w:t>
            </w:r>
            <w:r w:rsidR="00CC7E8E" w:rsidRPr="00D5538E">
              <w:rPr>
                <w:rFonts w:ascii="Times New Roman" w:eastAsia="Times New Roman" w:hAnsi="Times New Roman" w:cs="Times New Roman"/>
                <w:sz w:val="18"/>
                <w:szCs w:val="18"/>
              </w:rPr>
              <w:t xml:space="preserve">g </w:t>
            </w:r>
            <w:r w:rsidR="005F7AFF" w:rsidRPr="00D5538E">
              <w:rPr>
                <w:rFonts w:ascii="Times New Roman" w:eastAsia="Times New Roman" w:hAnsi="Times New Roman" w:cs="Times New Roman"/>
                <w:sz w:val="18"/>
                <w:szCs w:val="18"/>
              </w:rPr>
              <w:t xml:space="preserve">the </w:t>
            </w:r>
            <w:r w:rsidR="00526555" w:rsidRPr="00D5538E">
              <w:rPr>
                <w:rFonts w:ascii="Times New Roman" w:eastAsia="Times New Roman" w:hAnsi="Times New Roman" w:cs="Times New Roman"/>
                <w:sz w:val="18"/>
                <w:szCs w:val="18"/>
              </w:rPr>
              <w:t xml:space="preserve">EDGAR </w:t>
            </w:r>
            <w:r w:rsidR="00D61D99" w:rsidRPr="00D5538E">
              <w:rPr>
                <w:rFonts w:ascii="Times New Roman" w:eastAsia="Times New Roman" w:hAnsi="Times New Roman" w:cs="Times New Roman"/>
                <w:sz w:val="18"/>
                <w:szCs w:val="18"/>
              </w:rPr>
              <w:t>Report</w:t>
            </w:r>
            <w:r w:rsidR="007B7E39" w:rsidRPr="00D5538E">
              <w:rPr>
                <w:rFonts w:ascii="Times New Roman" w:eastAsia="Times New Roman" w:hAnsi="Times New Roman" w:cs="Times New Roman"/>
                <w:sz w:val="18"/>
                <w:szCs w:val="18"/>
              </w:rPr>
              <w:t xml:space="preserve"> (</w:t>
            </w:r>
            <w:r w:rsidR="00686000" w:rsidRPr="00D5538E">
              <w:rPr>
                <w:rFonts w:ascii="Times New Roman" w:eastAsia="Times New Roman" w:hAnsi="Times New Roman" w:cs="Times New Roman"/>
                <w:sz w:val="18"/>
                <w:szCs w:val="18"/>
              </w:rPr>
              <w:t>Cri</w:t>
            </w:r>
            <w:r w:rsidR="00A22277" w:rsidRPr="00D5538E">
              <w:rPr>
                <w:rFonts w:ascii="Times New Roman" w:eastAsia="Times New Roman" w:hAnsi="Times New Roman" w:cs="Times New Roman"/>
                <w:sz w:val="18"/>
                <w:szCs w:val="18"/>
              </w:rPr>
              <w:t>p</w:t>
            </w:r>
            <w:r w:rsidR="00686000" w:rsidRPr="00D5538E">
              <w:rPr>
                <w:rFonts w:ascii="Times New Roman" w:eastAsia="Times New Roman" w:hAnsi="Times New Roman" w:cs="Times New Roman"/>
                <w:sz w:val="18"/>
                <w:szCs w:val="18"/>
              </w:rPr>
              <w:t>pa</w:t>
            </w:r>
            <w:r w:rsidR="007B7E39" w:rsidRPr="00D5538E">
              <w:rPr>
                <w:rFonts w:ascii="Times New Roman" w:eastAsia="Times New Roman" w:hAnsi="Times New Roman" w:cs="Times New Roman"/>
                <w:sz w:val="18"/>
                <w:szCs w:val="18"/>
              </w:rPr>
              <w:t>,</w:t>
            </w:r>
            <w:r w:rsidR="00686000" w:rsidRPr="00D5538E">
              <w:rPr>
                <w:rFonts w:ascii="Times New Roman" w:eastAsia="Times New Roman" w:hAnsi="Times New Roman" w:cs="Times New Roman"/>
                <w:sz w:val="18"/>
                <w:szCs w:val="18"/>
              </w:rPr>
              <w:t xml:space="preserve"> 2023)</w:t>
            </w:r>
            <w:r w:rsidR="00BA63EC" w:rsidRPr="00D5538E">
              <w:rPr>
                <w:rFonts w:ascii="Times New Roman" w:eastAsia="Times New Roman" w:hAnsi="Times New Roman" w:cs="Times New Roman"/>
                <w:sz w:val="18"/>
                <w:szCs w:val="18"/>
              </w:rPr>
              <w:t>,</w:t>
            </w:r>
            <w:r w:rsidR="007B7E39" w:rsidRPr="00D5538E">
              <w:rPr>
                <w:rFonts w:ascii="Times New Roman" w:eastAsia="Times New Roman" w:hAnsi="Times New Roman" w:cs="Times New Roman"/>
                <w:sz w:val="18"/>
                <w:szCs w:val="18"/>
              </w:rPr>
              <w:t xml:space="preserve"> </w:t>
            </w:r>
            <w:r w:rsidR="002A5F80" w:rsidRPr="00D5538E">
              <w:rPr>
                <w:rFonts w:ascii="Times New Roman" w:eastAsia="Times New Roman" w:hAnsi="Times New Roman" w:cs="Times New Roman"/>
                <w:sz w:val="18"/>
                <w:szCs w:val="18"/>
              </w:rPr>
              <w:t xml:space="preserve">(2) </w:t>
            </w:r>
            <w:r w:rsidR="00995F7B" w:rsidRPr="00D5538E">
              <w:rPr>
                <w:rFonts w:ascii="Times New Roman" w:eastAsia="Times New Roman" w:hAnsi="Times New Roman" w:cs="Times New Roman"/>
                <w:sz w:val="18"/>
                <w:szCs w:val="18"/>
              </w:rPr>
              <w:t xml:space="preserve">a </w:t>
            </w:r>
            <w:r w:rsidR="004C1CC4" w:rsidRPr="00D5538E">
              <w:rPr>
                <w:rFonts w:ascii="Times New Roman" w:eastAsia="Times New Roman" w:hAnsi="Times New Roman" w:cs="Times New Roman"/>
                <w:sz w:val="18"/>
                <w:szCs w:val="18"/>
              </w:rPr>
              <w:t xml:space="preserve">global </w:t>
            </w:r>
            <w:r w:rsidR="00BE1A27" w:rsidRPr="00D5538E">
              <w:rPr>
                <w:rFonts w:ascii="Times New Roman" w:eastAsia="Times New Roman" w:hAnsi="Times New Roman" w:cs="Times New Roman"/>
                <w:sz w:val="18"/>
                <w:szCs w:val="18"/>
              </w:rPr>
              <w:t>level</w:t>
            </w:r>
            <w:r w:rsidR="0054323A" w:rsidRPr="00D5538E">
              <w:rPr>
                <w:rFonts w:ascii="Times New Roman" w:eastAsia="Times New Roman" w:hAnsi="Times New Roman" w:cs="Times New Roman"/>
                <w:sz w:val="18"/>
                <w:szCs w:val="18"/>
              </w:rPr>
              <w:t xml:space="preserve"> LULUCF emissions dataset included in the EDGAR Report (Crippa, 2023), </w:t>
            </w:r>
            <w:r w:rsidR="002A5F80" w:rsidRPr="00D5538E">
              <w:rPr>
                <w:rFonts w:ascii="Times New Roman" w:eastAsia="Times New Roman" w:hAnsi="Times New Roman" w:cs="Times New Roman"/>
                <w:sz w:val="18"/>
                <w:szCs w:val="18"/>
              </w:rPr>
              <w:t xml:space="preserve">(3) </w:t>
            </w:r>
            <w:r w:rsidR="00EE0C2B" w:rsidRPr="00D5538E">
              <w:rPr>
                <w:rFonts w:ascii="Times New Roman" w:eastAsia="Times New Roman" w:hAnsi="Times New Roman" w:cs="Times New Roman"/>
                <w:sz w:val="18"/>
                <w:szCs w:val="18"/>
              </w:rPr>
              <w:t xml:space="preserve">the </w:t>
            </w:r>
            <w:r w:rsidR="00BE4331" w:rsidRPr="00D5538E">
              <w:rPr>
                <w:rFonts w:ascii="Times New Roman" w:eastAsia="Times New Roman" w:hAnsi="Times New Roman" w:cs="Times New Roman"/>
                <w:sz w:val="18"/>
                <w:szCs w:val="18"/>
              </w:rPr>
              <w:t>country</w:t>
            </w:r>
            <w:r w:rsidR="00C01FAA" w:rsidRPr="00D5538E">
              <w:rPr>
                <w:rFonts w:ascii="Times New Roman" w:eastAsia="Times New Roman" w:hAnsi="Times New Roman" w:cs="Times New Roman"/>
                <w:sz w:val="18"/>
                <w:szCs w:val="18"/>
              </w:rPr>
              <w:t>-</w:t>
            </w:r>
            <w:r w:rsidR="00BE4331" w:rsidRPr="00D5538E">
              <w:rPr>
                <w:rFonts w:ascii="Times New Roman" w:eastAsia="Times New Roman" w:hAnsi="Times New Roman" w:cs="Times New Roman"/>
                <w:sz w:val="18"/>
                <w:szCs w:val="18"/>
              </w:rPr>
              <w:t>level</w:t>
            </w:r>
            <w:r w:rsidR="00FF5394" w:rsidRPr="00D5538E">
              <w:rPr>
                <w:rFonts w:ascii="Times New Roman" w:eastAsia="Times New Roman" w:hAnsi="Times New Roman" w:cs="Times New Roman"/>
                <w:sz w:val="18"/>
                <w:szCs w:val="18"/>
              </w:rPr>
              <w:t xml:space="preserve"> </w:t>
            </w:r>
            <w:r w:rsidR="00166561" w:rsidRPr="00D5538E">
              <w:rPr>
                <w:rFonts w:ascii="Times New Roman" w:eastAsia="Times New Roman" w:hAnsi="Times New Roman" w:cs="Times New Roman"/>
                <w:sz w:val="18"/>
                <w:szCs w:val="18"/>
              </w:rPr>
              <w:t xml:space="preserve">non-LULUCF </w:t>
            </w:r>
            <w:r w:rsidR="005A752D" w:rsidRPr="00D5538E">
              <w:rPr>
                <w:rFonts w:ascii="Times New Roman" w:eastAsia="Times New Roman" w:hAnsi="Times New Roman" w:cs="Times New Roman"/>
                <w:sz w:val="18"/>
                <w:szCs w:val="18"/>
              </w:rPr>
              <w:t>emissions disaggregated by subsector</w:t>
            </w:r>
            <w:r w:rsidR="002B6DE7" w:rsidRPr="00D5538E">
              <w:rPr>
                <w:rFonts w:ascii="Times New Roman" w:eastAsia="Times New Roman" w:hAnsi="Times New Roman" w:cs="Times New Roman"/>
                <w:sz w:val="18"/>
                <w:szCs w:val="18"/>
              </w:rPr>
              <w:t xml:space="preserve"> and </w:t>
            </w:r>
            <w:r w:rsidR="005A752D" w:rsidRPr="00D5538E">
              <w:rPr>
                <w:rFonts w:ascii="Times New Roman" w:eastAsia="Times New Roman" w:hAnsi="Times New Roman" w:cs="Times New Roman"/>
                <w:sz w:val="18"/>
                <w:szCs w:val="18"/>
              </w:rPr>
              <w:t>GHG</w:t>
            </w:r>
            <w:r w:rsidR="00801B97" w:rsidRPr="00D5538E">
              <w:rPr>
                <w:rFonts w:ascii="Times New Roman" w:eastAsia="Times New Roman" w:hAnsi="Times New Roman" w:cs="Times New Roman"/>
                <w:sz w:val="18"/>
                <w:szCs w:val="18"/>
              </w:rPr>
              <w:t xml:space="preserve"> in the </w:t>
            </w:r>
            <w:r w:rsidR="007E3C76" w:rsidRPr="007019E7">
              <w:rPr>
                <w:rFonts w:ascii="Times New Roman" w:eastAsia="Times New Roman" w:hAnsi="Times New Roman" w:cs="Times New Roman"/>
                <w:sz w:val="18"/>
                <w:szCs w:val="18"/>
              </w:rPr>
              <w:t xml:space="preserve">EDGAR_2024_GHG </w:t>
            </w:r>
            <w:r w:rsidR="00801B97" w:rsidRPr="007019E7">
              <w:rPr>
                <w:rFonts w:ascii="Times New Roman" w:eastAsia="Times New Roman" w:hAnsi="Times New Roman" w:cs="Times New Roman"/>
                <w:sz w:val="18"/>
                <w:szCs w:val="18"/>
              </w:rPr>
              <w:t>dataset</w:t>
            </w:r>
            <w:r w:rsidR="00BE1823" w:rsidRPr="007019E7">
              <w:rPr>
                <w:rFonts w:ascii="Times New Roman" w:eastAsia="Times New Roman" w:hAnsi="Times New Roman" w:cs="Times New Roman"/>
                <w:sz w:val="18"/>
                <w:szCs w:val="18"/>
              </w:rPr>
              <w:t xml:space="preserve">, and </w:t>
            </w:r>
            <w:r w:rsidR="00436976" w:rsidRPr="007019E7">
              <w:rPr>
                <w:rFonts w:ascii="Times New Roman" w:eastAsia="Times New Roman" w:hAnsi="Times New Roman" w:cs="Times New Roman"/>
                <w:sz w:val="18"/>
                <w:szCs w:val="18"/>
              </w:rPr>
              <w:t xml:space="preserve">(4) </w:t>
            </w:r>
            <w:r w:rsidR="00BE1823" w:rsidRPr="007019E7">
              <w:rPr>
                <w:rFonts w:ascii="Times New Roman" w:eastAsia="Times New Roman" w:hAnsi="Times New Roman" w:cs="Times New Roman"/>
                <w:sz w:val="18"/>
                <w:szCs w:val="18"/>
              </w:rPr>
              <w:t xml:space="preserve">country-level disaggregated </w:t>
            </w:r>
            <w:r w:rsidR="00DD02A6" w:rsidRPr="007019E7">
              <w:rPr>
                <w:rFonts w:ascii="Times New Roman" w:eastAsia="Times New Roman" w:hAnsi="Times New Roman" w:cs="Times New Roman"/>
                <w:sz w:val="18"/>
                <w:szCs w:val="18"/>
              </w:rPr>
              <w:t>LULUCF emissions</w:t>
            </w:r>
            <w:r w:rsidR="00BE1823" w:rsidRPr="007019E7">
              <w:rPr>
                <w:rFonts w:ascii="Times New Roman" w:eastAsia="Times New Roman" w:hAnsi="Times New Roman" w:cs="Times New Roman"/>
                <w:sz w:val="18"/>
                <w:szCs w:val="18"/>
              </w:rPr>
              <w:t xml:space="preserve"> </w:t>
            </w:r>
            <w:r w:rsidR="00436EC2" w:rsidRPr="007019E7">
              <w:rPr>
                <w:rFonts w:ascii="Times New Roman" w:eastAsia="Times New Roman" w:hAnsi="Times New Roman" w:cs="Times New Roman"/>
                <w:sz w:val="18"/>
                <w:szCs w:val="18"/>
              </w:rPr>
              <w:t>estimates</w:t>
            </w:r>
            <w:r w:rsidR="00BE1823" w:rsidRPr="007019E7">
              <w:rPr>
                <w:rFonts w:ascii="Times New Roman" w:eastAsia="Times New Roman" w:hAnsi="Times New Roman" w:cs="Times New Roman"/>
                <w:sz w:val="18"/>
                <w:szCs w:val="18"/>
              </w:rPr>
              <w:t xml:space="preserve"> from</w:t>
            </w:r>
            <w:r w:rsidR="007E3C76" w:rsidRPr="007019E7">
              <w:rPr>
                <w:rFonts w:ascii="Times New Roman" w:eastAsia="Times New Roman" w:hAnsi="Times New Roman" w:cs="Times New Roman"/>
                <w:sz w:val="18"/>
                <w:szCs w:val="18"/>
              </w:rPr>
              <w:t xml:space="preserve"> EU Forest Observatory</w:t>
            </w:r>
            <w:r w:rsidR="00AF501C" w:rsidRPr="007019E7">
              <w:rPr>
                <w:rFonts w:ascii="Times New Roman" w:eastAsia="Times New Roman" w:hAnsi="Times New Roman" w:cs="Times New Roman"/>
                <w:sz w:val="18"/>
                <w:szCs w:val="18"/>
              </w:rPr>
              <w:t>.</w:t>
            </w:r>
            <w:r w:rsidR="00DD02A6" w:rsidRPr="007019E7">
              <w:rPr>
                <w:rFonts w:ascii="Times New Roman" w:eastAsia="Times New Roman" w:hAnsi="Times New Roman" w:cs="Times New Roman"/>
                <w:sz w:val="18"/>
                <w:szCs w:val="18"/>
              </w:rPr>
              <w:t xml:space="preserve"> </w:t>
            </w:r>
          </w:p>
          <w:p w14:paraId="113EF578" w14:textId="77777777" w:rsidR="002B6DE7" w:rsidRPr="007019E7" w:rsidRDefault="002B6DE7" w:rsidP="00DD02A6">
            <w:pPr>
              <w:spacing w:after="0" w:line="240" w:lineRule="auto"/>
              <w:ind w:right="75"/>
              <w:textAlignment w:val="baseline"/>
              <w:rPr>
                <w:rFonts w:ascii="Times New Roman" w:eastAsia="Times New Roman" w:hAnsi="Times New Roman" w:cs="Times New Roman"/>
                <w:sz w:val="18"/>
                <w:szCs w:val="18"/>
              </w:rPr>
            </w:pPr>
          </w:p>
          <w:p w14:paraId="429A002A" w14:textId="27590BC2" w:rsidR="005E0889" w:rsidRPr="00D5538E" w:rsidRDefault="005E0889" w:rsidP="005E0889">
            <w:pPr>
              <w:spacing w:after="0" w:line="240" w:lineRule="auto"/>
              <w:ind w:right="75"/>
              <w:textAlignment w:val="baseline"/>
              <w:rPr>
                <w:rFonts w:ascii="Times New Roman" w:eastAsia="Times New Roman" w:hAnsi="Times New Roman" w:cs="Times New Roman"/>
                <w:sz w:val="18"/>
                <w:szCs w:val="18"/>
              </w:rPr>
            </w:pPr>
            <w:r w:rsidRPr="007019E7">
              <w:rPr>
                <w:rFonts w:ascii="Times New Roman" w:eastAsia="Times New Roman" w:hAnsi="Times New Roman" w:cs="Times New Roman"/>
                <w:sz w:val="18"/>
                <w:szCs w:val="18"/>
              </w:rPr>
              <w:t>The new WB indicator of Global GHG Emissions is the sum of the</w:t>
            </w:r>
            <w:r w:rsidR="00DA498B" w:rsidRPr="007019E7">
              <w:rPr>
                <w:rFonts w:ascii="Times New Roman" w:eastAsia="Times New Roman" w:hAnsi="Times New Roman" w:cs="Times New Roman"/>
                <w:sz w:val="18"/>
                <w:szCs w:val="18"/>
              </w:rPr>
              <w:t xml:space="preserve"> </w:t>
            </w:r>
            <w:r w:rsidR="005A5698" w:rsidRPr="007019E7">
              <w:rPr>
                <w:rFonts w:ascii="Times New Roman" w:eastAsia="Times New Roman" w:hAnsi="Times New Roman" w:cs="Times New Roman"/>
                <w:sz w:val="18"/>
                <w:szCs w:val="18"/>
              </w:rPr>
              <w:t xml:space="preserve">annual global </w:t>
            </w:r>
            <w:r w:rsidR="007C09AF" w:rsidRPr="007019E7">
              <w:rPr>
                <w:rFonts w:ascii="Times New Roman" w:eastAsia="Times New Roman" w:hAnsi="Times New Roman" w:cs="Times New Roman"/>
                <w:sz w:val="18"/>
                <w:szCs w:val="18"/>
              </w:rPr>
              <w:t xml:space="preserve">non-LULUCF emissions </w:t>
            </w:r>
            <w:r w:rsidR="00985C8A" w:rsidRPr="007019E7">
              <w:rPr>
                <w:rFonts w:ascii="Times New Roman" w:eastAsia="Times New Roman" w:hAnsi="Times New Roman" w:cs="Times New Roman"/>
                <w:sz w:val="18"/>
                <w:szCs w:val="18"/>
              </w:rPr>
              <w:t xml:space="preserve">(1) </w:t>
            </w:r>
            <w:r w:rsidR="007C09AF" w:rsidRPr="007019E7">
              <w:rPr>
                <w:rFonts w:ascii="Times New Roman" w:eastAsia="Times New Roman" w:hAnsi="Times New Roman" w:cs="Times New Roman"/>
                <w:sz w:val="18"/>
                <w:szCs w:val="18"/>
              </w:rPr>
              <w:t xml:space="preserve">and </w:t>
            </w:r>
            <w:r w:rsidR="00F72A74" w:rsidRPr="007019E7">
              <w:rPr>
                <w:rFonts w:ascii="Times New Roman" w:eastAsia="Times New Roman" w:hAnsi="Times New Roman" w:cs="Times New Roman"/>
                <w:sz w:val="18"/>
                <w:szCs w:val="18"/>
              </w:rPr>
              <w:t xml:space="preserve">annual global </w:t>
            </w:r>
            <w:r w:rsidR="007C09AF" w:rsidRPr="007019E7">
              <w:rPr>
                <w:rFonts w:ascii="Times New Roman" w:eastAsia="Times New Roman" w:hAnsi="Times New Roman" w:cs="Times New Roman"/>
                <w:sz w:val="18"/>
                <w:szCs w:val="18"/>
              </w:rPr>
              <w:t xml:space="preserve">LULUCF emission </w:t>
            </w:r>
            <w:r w:rsidR="00F72A74" w:rsidRPr="007019E7">
              <w:rPr>
                <w:rFonts w:ascii="Times New Roman" w:eastAsia="Times New Roman" w:hAnsi="Times New Roman" w:cs="Times New Roman"/>
                <w:sz w:val="18"/>
                <w:szCs w:val="18"/>
              </w:rPr>
              <w:t>from the EDGAR Report</w:t>
            </w:r>
            <w:r w:rsidR="00985C8A" w:rsidRPr="007019E7">
              <w:rPr>
                <w:rFonts w:ascii="Times New Roman" w:eastAsia="Times New Roman" w:hAnsi="Times New Roman" w:cs="Times New Roman"/>
                <w:sz w:val="18"/>
                <w:szCs w:val="18"/>
              </w:rPr>
              <w:t xml:space="preserve"> (2)</w:t>
            </w:r>
            <w:r w:rsidR="00F72A74" w:rsidRPr="007019E7">
              <w:rPr>
                <w:rFonts w:ascii="Times New Roman" w:eastAsia="Times New Roman" w:hAnsi="Times New Roman" w:cs="Times New Roman"/>
                <w:sz w:val="18"/>
                <w:szCs w:val="18"/>
              </w:rPr>
              <w:t xml:space="preserve">. This indicator is </w:t>
            </w:r>
            <w:r w:rsidR="00546E10" w:rsidRPr="007019E7">
              <w:rPr>
                <w:rFonts w:ascii="Times New Roman" w:eastAsia="Times New Roman" w:hAnsi="Times New Roman" w:cs="Times New Roman"/>
                <w:sz w:val="18"/>
                <w:szCs w:val="18"/>
              </w:rPr>
              <w:t xml:space="preserve">thus </w:t>
            </w:r>
            <w:r w:rsidR="00F72A74" w:rsidRPr="007019E7">
              <w:rPr>
                <w:rFonts w:ascii="Times New Roman" w:eastAsia="Times New Roman" w:hAnsi="Times New Roman" w:cs="Times New Roman"/>
                <w:sz w:val="18"/>
                <w:szCs w:val="18"/>
              </w:rPr>
              <w:t xml:space="preserve">available </w:t>
            </w:r>
            <w:r w:rsidRPr="007019E7">
              <w:rPr>
                <w:rFonts w:ascii="Times New Roman" w:eastAsia="Times New Roman" w:hAnsi="Times New Roman" w:cs="Times New Roman"/>
                <w:sz w:val="18"/>
                <w:szCs w:val="18"/>
              </w:rPr>
              <w:t>from 1990 to 202</w:t>
            </w:r>
            <w:r w:rsidR="00B15345" w:rsidRPr="007019E7">
              <w:rPr>
                <w:rFonts w:ascii="Times New Roman" w:eastAsia="Times New Roman" w:hAnsi="Times New Roman" w:cs="Times New Roman"/>
                <w:sz w:val="18"/>
                <w:szCs w:val="18"/>
              </w:rPr>
              <w:t>3</w:t>
            </w:r>
            <w:r w:rsidRPr="007019E7">
              <w:rPr>
                <w:rFonts w:ascii="Times New Roman" w:eastAsia="Times New Roman" w:hAnsi="Times New Roman" w:cs="Times New Roman"/>
                <w:sz w:val="18"/>
                <w:szCs w:val="18"/>
              </w:rPr>
              <w:t>.</w:t>
            </w:r>
          </w:p>
          <w:p w14:paraId="21397809" w14:textId="77777777" w:rsidR="00F72A74" w:rsidRPr="00D5538E" w:rsidRDefault="00F72A74" w:rsidP="005E0889">
            <w:pPr>
              <w:spacing w:after="0" w:line="240" w:lineRule="auto"/>
              <w:ind w:right="75"/>
              <w:textAlignment w:val="baseline"/>
              <w:rPr>
                <w:rFonts w:ascii="Times New Roman" w:eastAsia="Times New Roman" w:hAnsi="Times New Roman" w:cs="Times New Roman"/>
                <w:sz w:val="18"/>
                <w:szCs w:val="18"/>
              </w:rPr>
            </w:pPr>
          </w:p>
          <w:p w14:paraId="41CEE5CE" w14:textId="604B2CE3" w:rsidR="0081075F" w:rsidRPr="00D5538E" w:rsidRDefault="004753AB" w:rsidP="005E0889">
            <w:pPr>
              <w:spacing w:after="0" w:line="240" w:lineRule="auto"/>
              <w:ind w:right="75"/>
              <w:textAlignment w:val="baseline"/>
              <w:rPr>
                <w:rFonts w:ascii="Times New Roman" w:eastAsia="Times New Roman" w:hAnsi="Times New Roman" w:cs="Times New Roman"/>
                <w:sz w:val="18"/>
                <w:szCs w:val="18"/>
              </w:rPr>
            </w:pPr>
            <w:r w:rsidRPr="2BFF1B7A">
              <w:rPr>
                <w:rFonts w:ascii="Times New Roman" w:eastAsia="Times New Roman" w:hAnsi="Times New Roman" w:cs="Times New Roman"/>
                <w:sz w:val="18"/>
                <w:szCs w:val="18"/>
              </w:rPr>
              <w:t xml:space="preserve">For the </w:t>
            </w:r>
            <w:r w:rsidR="009E7633" w:rsidRPr="2BFF1B7A">
              <w:rPr>
                <w:rFonts w:ascii="Times New Roman" w:eastAsia="Times New Roman" w:hAnsi="Times New Roman" w:cs="Times New Roman"/>
                <w:sz w:val="18"/>
                <w:szCs w:val="18"/>
              </w:rPr>
              <w:t>GHG emissions disaggregated at the country level</w:t>
            </w:r>
            <w:r w:rsidRPr="2BFF1B7A">
              <w:rPr>
                <w:rFonts w:ascii="Times New Roman" w:eastAsia="Times New Roman" w:hAnsi="Times New Roman" w:cs="Times New Roman"/>
                <w:sz w:val="18"/>
                <w:szCs w:val="18"/>
              </w:rPr>
              <w:t xml:space="preserve">, the non-LULUCF estimates from the </w:t>
            </w:r>
            <w:r w:rsidR="00B15345" w:rsidRPr="2BFF1B7A">
              <w:rPr>
                <w:rFonts w:ascii="Times New Roman" w:eastAsia="Times New Roman" w:hAnsi="Times New Roman" w:cs="Times New Roman"/>
                <w:sz w:val="18"/>
                <w:szCs w:val="18"/>
              </w:rPr>
              <w:t xml:space="preserve">EDGAR_2024_GHG </w:t>
            </w:r>
            <w:r w:rsidRPr="2BFF1B7A">
              <w:rPr>
                <w:rFonts w:ascii="Times New Roman" w:eastAsia="Times New Roman" w:hAnsi="Times New Roman" w:cs="Times New Roman"/>
                <w:sz w:val="18"/>
                <w:szCs w:val="18"/>
              </w:rPr>
              <w:t xml:space="preserve">dataset </w:t>
            </w:r>
            <w:r w:rsidR="001F5A95" w:rsidRPr="2BFF1B7A">
              <w:rPr>
                <w:rFonts w:ascii="Times New Roman" w:eastAsia="Times New Roman" w:hAnsi="Times New Roman" w:cs="Times New Roman"/>
                <w:sz w:val="18"/>
                <w:szCs w:val="18"/>
              </w:rPr>
              <w:t xml:space="preserve">(3) </w:t>
            </w:r>
            <w:r w:rsidRPr="2BFF1B7A">
              <w:rPr>
                <w:rFonts w:ascii="Times New Roman" w:eastAsia="Times New Roman" w:hAnsi="Times New Roman" w:cs="Times New Roman"/>
                <w:sz w:val="18"/>
                <w:szCs w:val="18"/>
              </w:rPr>
              <w:t>and</w:t>
            </w:r>
            <w:r w:rsidR="00B15345" w:rsidRPr="2BFF1B7A">
              <w:rPr>
                <w:rFonts w:ascii="Times New Roman" w:eastAsia="Times New Roman" w:hAnsi="Times New Roman" w:cs="Times New Roman"/>
                <w:sz w:val="18"/>
                <w:szCs w:val="18"/>
              </w:rPr>
              <w:t xml:space="preserve"> EU Forest Observatory</w:t>
            </w:r>
            <w:r w:rsidRPr="2BFF1B7A">
              <w:rPr>
                <w:rFonts w:ascii="Times New Roman" w:eastAsia="Times New Roman" w:hAnsi="Times New Roman" w:cs="Times New Roman"/>
                <w:sz w:val="18"/>
                <w:szCs w:val="18"/>
              </w:rPr>
              <w:t xml:space="preserve"> LULUCF datasets </w:t>
            </w:r>
            <w:r w:rsidR="001F5A95" w:rsidRPr="2BFF1B7A">
              <w:rPr>
                <w:rFonts w:ascii="Times New Roman" w:eastAsia="Times New Roman" w:hAnsi="Times New Roman" w:cs="Times New Roman"/>
                <w:sz w:val="18"/>
                <w:szCs w:val="18"/>
              </w:rPr>
              <w:t xml:space="preserve">(4) </w:t>
            </w:r>
            <w:r w:rsidRPr="2BFF1B7A">
              <w:rPr>
                <w:rFonts w:ascii="Times New Roman" w:eastAsia="Times New Roman" w:hAnsi="Times New Roman" w:cs="Times New Roman"/>
                <w:sz w:val="18"/>
                <w:szCs w:val="18"/>
              </w:rPr>
              <w:t xml:space="preserve">are added together to provide total GHG emissions at the country, subsector, and individual GHG level. </w:t>
            </w:r>
            <w:r w:rsidR="00000FB2" w:rsidRPr="2BFF1B7A">
              <w:rPr>
                <w:rFonts w:ascii="Times New Roman" w:eastAsia="Times New Roman" w:hAnsi="Times New Roman" w:cs="Times New Roman"/>
                <w:sz w:val="18"/>
                <w:szCs w:val="18"/>
              </w:rPr>
              <w:t>The country-level LULUCF data are currently available only through 202</w:t>
            </w:r>
            <w:r w:rsidR="00024C20" w:rsidRPr="2BFF1B7A">
              <w:rPr>
                <w:rFonts w:ascii="Times New Roman" w:eastAsia="Times New Roman" w:hAnsi="Times New Roman" w:cs="Times New Roman"/>
                <w:sz w:val="18"/>
                <w:szCs w:val="18"/>
              </w:rPr>
              <w:t>2</w:t>
            </w:r>
            <w:r w:rsidR="00000FB2" w:rsidRPr="2BFF1B7A">
              <w:rPr>
                <w:rFonts w:ascii="Times New Roman" w:eastAsia="Times New Roman" w:hAnsi="Times New Roman" w:cs="Times New Roman"/>
                <w:sz w:val="18"/>
                <w:szCs w:val="18"/>
              </w:rPr>
              <w:t xml:space="preserve">. As such, the </w:t>
            </w:r>
            <w:r w:rsidR="00024C20" w:rsidRPr="2BFF1B7A">
              <w:rPr>
                <w:rFonts w:ascii="Times New Roman" w:eastAsia="Times New Roman" w:hAnsi="Times New Roman" w:cs="Times New Roman"/>
                <w:sz w:val="18"/>
                <w:szCs w:val="18"/>
              </w:rPr>
              <w:t>2023</w:t>
            </w:r>
            <w:r w:rsidR="00000FB2" w:rsidRPr="2BFF1B7A">
              <w:rPr>
                <w:rFonts w:ascii="Times New Roman" w:eastAsia="Times New Roman" w:hAnsi="Times New Roman" w:cs="Times New Roman"/>
                <w:sz w:val="18"/>
                <w:szCs w:val="18"/>
              </w:rPr>
              <w:t xml:space="preserve"> values are set equal to the 202</w:t>
            </w:r>
            <w:r w:rsidR="00024C20" w:rsidRPr="2BFF1B7A">
              <w:rPr>
                <w:rFonts w:ascii="Times New Roman" w:eastAsia="Times New Roman" w:hAnsi="Times New Roman" w:cs="Times New Roman"/>
                <w:sz w:val="18"/>
                <w:szCs w:val="18"/>
              </w:rPr>
              <w:t>2</w:t>
            </w:r>
            <w:r w:rsidR="00000FB2" w:rsidRPr="2BFF1B7A">
              <w:rPr>
                <w:rFonts w:ascii="Times New Roman" w:eastAsia="Times New Roman" w:hAnsi="Times New Roman" w:cs="Times New Roman"/>
                <w:sz w:val="18"/>
                <w:szCs w:val="18"/>
              </w:rPr>
              <w:t xml:space="preserve"> values. This temporary calculation will be replaced by data updates </w:t>
            </w:r>
            <w:r w:rsidR="00024C20" w:rsidRPr="2BFF1B7A">
              <w:rPr>
                <w:rFonts w:ascii="Times New Roman" w:eastAsia="Times New Roman" w:hAnsi="Times New Roman" w:cs="Times New Roman"/>
                <w:sz w:val="18"/>
                <w:szCs w:val="18"/>
              </w:rPr>
              <w:t xml:space="preserve">when </w:t>
            </w:r>
            <w:r w:rsidR="00E61019" w:rsidRPr="2BFF1B7A">
              <w:rPr>
                <w:rFonts w:ascii="Times New Roman" w:eastAsia="Times New Roman" w:hAnsi="Times New Roman" w:cs="Times New Roman"/>
                <w:sz w:val="18"/>
                <w:szCs w:val="18"/>
              </w:rPr>
              <w:t xml:space="preserve">they </w:t>
            </w:r>
            <w:r w:rsidR="00024C20" w:rsidRPr="2BFF1B7A">
              <w:rPr>
                <w:rFonts w:ascii="Times New Roman" w:eastAsia="Times New Roman" w:hAnsi="Times New Roman" w:cs="Times New Roman"/>
                <w:sz w:val="18"/>
                <w:szCs w:val="18"/>
              </w:rPr>
              <w:t>become available</w:t>
            </w:r>
            <w:r w:rsidR="00000FB2" w:rsidRPr="2BFF1B7A">
              <w:rPr>
                <w:rFonts w:ascii="Times New Roman" w:eastAsia="Times New Roman" w:hAnsi="Times New Roman" w:cs="Times New Roman"/>
                <w:sz w:val="18"/>
                <w:szCs w:val="18"/>
              </w:rPr>
              <w:t xml:space="preserve">. In future years, the LULUCF data will be updated annually, consistent with the </w:t>
            </w:r>
            <w:r w:rsidR="00E61019" w:rsidRPr="2BFF1B7A">
              <w:rPr>
                <w:rFonts w:ascii="Times New Roman" w:eastAsia="Times New Roman" w:hAnsi="Times New Roman" w:cs="Times New Roman"/>
                <w:sz w:val="18"/>
                <w:szCs w:val="18"/>
              </w:rPr>
              <w:t xml:space="preserve">EDGAR_2024_GHG </w:t>
            </w:r>
            <w:r w:rsidR="00000FB2" w:rsidRPr="2BFF1B7A">
              <w:rPr>
                <w:rFonts w:ascii="Times New Roman" w:eastAsia="Times New Roman" w:hAnsi="Times New Roman" w:cs="Times New Roman"/>
                <w:sz w:val="18"/>
                <w:szCs w:val="18"/>
              </w:rPr>
              <w:t xml:space="preserve">dataset’s update schedule. </w:t>
            </w:r>
            <w:r w:rsidR="00E063EA" w:rsidRPr="2BFF1B7A">
              <w:rPr>
                <w:rFonts w:ascii="Times New Roman" w:eastAsia="Times New Roman" w:hAnsi="Times New Roman" w:cs="Times New Roman"/>
                <w:sz w:val="18"/>
                <w:szCs w:val="18"/>
              </w:rPr>
              <w:t>In additional, global non-tropical fires which are included in the global dataset but not included in the Grassi dataset are added.</w:t>
            </w:r>
          </w:p>
          <w:p w14:paraId="5FD3179C" w14:textId="77777777" w:rsidR="0081075F" w:rsidRDefault="0081075F" w:rsidP="005E0889">
            <w:pPr>
              <w:spacing w:after="0" w:line="240" w:lineRule="auto"/>
              <w:ind w:right="75"/>
              <w:textAlignment w:val="baseline"/>
              <w:rPr>
                <w:rFonts w:ascii="Times New Roman" w:eastAsia="Times New Roman" w:hAnsi="Times New Roman" w:cs="Times New Roman"/>
                <w:sz w:val="20"/>
                <w:szCs w:val="20"/>
              </w:rPr>
            </w:pPr>
          </w:p>
          <w:p w14:paraId="4199BB94" w14:textId="4BEAC21D" w:rsidR="00401D5C" w:rsidRPr="00D5538E" w:rsidRDefault="47888E21" w:rsidP="005E0889">
            <w:pPr>
              <w:spacing w:after="0" w:line="240" w:lineRule="auto"/>
              <w:ind w:right="75"/>
              <w:textAlignment w:val="baseline"/>
              <w:rPr>
                <w:rFonts w:ascii="Times New Roman" w:eastAsia="Times New Roman" w:hAnsi="Times New Roman" w:cs="Times New Roman"/>
                <w:sz w:val="18"/>
                <w:szCs w:val="18"/>
              </w:rPr>
            </w:pPr>
            <w:r w:rsidRPr="00D5538E">
              <w:rPr>
                <w:rFonts w:ascii="Times New Roman" w:eastAsia="Times New Roman" w:hAnsi="Times New Roman" w:cs="Times New Roman"/>
                <w:sz w:val="18"/>
                <w:szCs w:val="18"/>
              </w:rPr>
              <w:t xml:space="preserve">The summation of </w:t>
            </w:r>
            <w:r w:rsidR="6828D74B" w:rsidRPr="00D5538E">
              <w:rPr>
                <w:rFonts w:ascii="Times New Roman" w:eastAsia="Times New Roman" w:hAnsi="Times New Roman" w:cs="Times New Roman"/>
                <w:sz w:val="18"/>
                <w:szCs w:val="18"/>
              </w:rPr>
              <w:t xml:space="preserve">the country-level emissions </w:t>
            </w:r>
            <w:r w:rsidR="507C6637" w:rsidRPr="00D5538E">
              <w:rPr>
                <w:rFonts w:ascii="Times New Roman" w:eastAsia="Times New Roman" w:hAnsi="Times New Roman" w:cs="Times New Roman"/>
                <w:sz w:val="18"/>
                <w:szCs w:val="18"/>
              </w:rPr>
              <w:t xml:space="preserve">across all countries, subsectors, and gases is </w:t>
            </w:r>
            <w:r w:rsidR="225ED275" w:rsidRPr="00D5538E">
              <w:rPr>
                <w:rFonts w:ascii="Times New Roman" w:eastAsia="Times New Roman" w:hAnsi="Times New Roman" w:cs="Times New Roman"/>
                <w:sz w:val="18"/>
                <w:szCs w:val="18"/>
              </w:rPr>
              <w:t xml:space="preserve">about </w:t>
            </w:r>
            <w:r w:rsidR="00126F75" w:rsidRPr="2BFF1B7A">
              <w:rPr>
                <w:rFonts w:ascii="Times New Roman" w:eastAsia="Times New Roman" w:hAnsi="Times New Roman" w:cs="Times New Roman"/>
                <w:sz w:val="18"/>
                <w:szCs w:val="18"/>
              </w:rPr>
              <w:t>10</w:t>
            </w:r>
            <w:r w:rsidR="225ED275" w:rsidRPr="00B74D84">
              <w:rPr>
                <w:rFonts w:ascii="Times New Roman" w:eastAsia="Times New Roman" w:hAnsi="Times New Roman" w:cs="Times New Roman"/>
                <w:sz w:val="18"/>
                <w:szCs w:val="18"/>
              </w:rPr>
              <w:t>%</w:t>
            </w:r>
            <w:r w:rsidR="4FB6022E" w:rsidRPr="00D5538E">
              <w:rPr>
                <w:rFonts w:ascii="Times New Roman" w:eastAsia="Times New Roman" w:hAnsi="Times New Roman" w:cs="Times New Roman"/>
                <w:sz w:val="18"/>
                <w:szCs w:val="18"/>
              </w:rPr>
              <w:t xml:space="preserve"> lower than the </w:t>
            </w:r>
            <w:r w:rsidR="00F25818" w:rsidRPr="2BFF1B7A">
              <w:rPr>
                <w:rFonts w:ascii="Times New Roman" w:eastAsia="Times New Roman" w:hAnsi="Times New Roman" w:cs="Times New Roman"/>
                <w:sz w:val="18"/>
                <w:szCs w:val="18"/>
              </w:rPr>
              <w:t xml:space="preserve">total </w:t>
            </w:r>
            <w:r w:rsidR="4FB6022E" w:rsidRPr="00D5538E">
              <w:rPr>
                <w:rFonts w:ascii="Times New Roman" w:eastAsia="Times New Roman" w:hAnsi="Times New Roman" w:cs="Times New Roman"/>
                <w:sz w:val="18"/>
                <w:szCs w:val="18"/>
              </w:rPr>
              <w:t>global emissions figure</w:t>
            </w:r>
            <w:r w:rsidR="19C8CE8D" w:rsidRPr="00D5538E">
              <w:rPr>
                <w:rFonts w:ascii="Times New Roman" w:eastAsia="Times New Roman" w:hAnsi="Times New Roman" w:cs="Times New Roman"/>
                <w:sz w:val="18"/>
                <w:szCs w:val="18"/>
              </w:rPr>
              <w:t xml:space="preserve"> in </w:t>
            </w:r>
            <w:r w:rsidR="19C8CE8D" w:rsidRPr="00F25818">
              <w:rPr>
                <w:rFonts w:ascii="Times New Roman" w:eastAsia="Times New Roman" w:hAnsi="Times New Roman" w:cs="Times New Roman"/>
                <w:sz w:val="18"/>
                <w:szCs w:val="18"/>
              </w:rPr>
              <w:t>202</w:t>
            </w:r>
            <w:r w:rsidR="00183201" w:rsidRPr="00F25818">
              <w:rPr>
                <w:rFonts w:ascii="Times New Roman" w:eastAsia="Times New Roman" w:hAnsi="Times New Roman" w:cs="Times New Roman"/>
                <w:sz w:val="18"/>
                <w:szCs w:val="18"/>
              </w:rPr>
              <w:t>3</w:t>
            </w:r>
            <w:r w:rsidR="4FB6022E" w:rsidRPr="00D5538E">
              <w:rPr>
                <w:rFonts w:ascii="Times New Roman" w:eastAsia="Times New Roman" w:hAnsi="Times New Roman" w:cs="Times New Roman"/>
                <w:sz w:val="18"/>
                <w:szCs w:val="18"/>
              </w:rPr>
              <w:t>. This</w:t>
            </w:r>
            <w:r w:rsidRPr="2BFF1B7A" w:rsidDel="4FB6022E">
              <w:rPr>
                <w:rFonts w:ascii="Times New Roman" w:eastAsia="Times New Roman" w:hAnsi="Times New Roman" w:cs="Times New Roman"/>
                <w:sz w:val="18"/>
                <w:szCs w:val="18"/>
              </w:rPr>
              <w:t xml:space="preserve"> </w:t>
            </w:r>
            <w:r w:rsidR="00F25818" w:rsidRPr="2BFF1B7A">
              <w:rPr>
                <w:rFonts w:ascii="Times New Roman" w:eastAsia="Times New Roman" w:hAnsi="Times New Roman" w:cs="Times New Roman"/>
                <w:sz w:val="18"/>
                <w:szCs w:val="18"/>
              </w:rPr>
              <w:t xml:space="preserve">difference </w:t>
            </w:r>
            <w:r w:rsidR="4FB6022E" w:rsidRPr="00D5538E">
              <w:rPr>
                <w:rFonts w:ascii="Times New Roman" w:eastAsia="Times New Roman" w:hAnsi="Times New Roman" w:cs="Times New Roman"/>
                <w:sz w:val="18"/>
                <w:szCs w:val="18"/>
              </w:rPr>
              <w:t xml:space="preserve">is due </w:t>
            </w:r>
            <w:r w:rsidR="5A881FEF" w:rsidRPr="00D5538E">
              <w:rPr>
                <w:rFonts w:ascii="Times New Roman" w:eastAsia="Times New Roman" w:hAnsi="Times New Roman" w:cs="Times New Roman"/>
                <w:sz w:val="18"/>
                <w:szCs w:val="18"/>
              </w:rPr>
              <w:t>primarily</w:t>
            </w:r>
            <w:r w:rsidR="00133196" w:rsidRPr="2BFF1B7A">
              <w:rPr>
                <w:rFonts w:ascii="Times New Roman" w:eastAsia="Times New Roman" w:hAnsi="Times New Roman" w:cs="Times New Roman"/>
                <w:sz w:val="18"/>
                <w:szCs w:val="18"/>
              </w:rPr>
              <w:t xml:space="preserve"> (about 7%)</w:t>
            </w:r>
            <w:r w:rsidR="5A881FEF" w:rsidRPr="00D5538E">
              <w:rPr>
                <w:rFonts w:ascii="Times New Roman" w:eastAsia="Times New Roman" w:hAnsi="Times New Roman" w:cs="Times New Roman"/>
                <w:sz w:val="18"/>
                <w:szCs w:val="18"/>
              </w:rPr>
              <w:t xml:space="preserve"> to the </w:t>
            </w:r>
            <w:r w:rsidR="00F25818" w:rsidRPr="2BFF1B7A">
              <w:rPr>
                <w:rFonts w:ascii="Times New Roman" w:eastAsia="Times New Roman" w:hAnsi="Times New Roman" w:cs="Times New Roman"/>
                <w:sz w:val="18"/>
                <w:szCs w:val="18"/>
              </w:rPr>
              <w:t xml:space="preserve">inclusion of global </w:t>
            </w:r>
            <w:r w:rsidR="00580D5B" w:rsidRPr="2BFF1B7A">
              <w:rPr>
                <w:rFonts w:ascii="Times New Roman" w:eastAsia="Times New Roman" w:hAnsi="Times New Roman" w:cs="Times New Roman"/>
                <w:sz w:val="18"/>
                <w:szCs w:val="18"/>
              </w:rPr>
              <w:t>aviation</w:t>
            </w:r>
            <w:r w:rsidR="00F25818" w:rsidRPr="2BFF1B7A">
              <w:rPr>
                <w:rFonts w:ascii="Times New Roman" w:eastAsia="Times New Roman" w:hAnsi="Times New Roman" w:cs="Times New Roman"/>
                <w:sz w:val="18"/>
                <w:szCs w:val="18"/>
              </w:rPr>
              <w:t xml:space="preserve"> and maritime emissions</w:t>
            </w:r>
            <w:r w:rsidR="0050300C" w:rsidRPr="2BFF1B7A">
              <w:rPr>
                <w:rFonts w:ascii="Times New Roman" w:eastAsia="Times New Roman" w:hAnsi="Times New Roman" w:cs="Times New Roman"/>
                <w:sz w:val="18"/>
                <w:szCs w:val="18"/>
              </w:rPr>
              <w:t xml:space="preserve"> </w:t>
            </w:r>
            <w:r w:rsidR="00DF1B54" w:rsidRPr="2BFF1B7A">
              <w:rPr>
                <w:rFonts w:ascii="Times New Roman" w:eastAsia="Times New Roman" w:hAnsi="Times New Roman" w:cs="Times New Roman"/>
                <w:sz w:val="18"/>
                <w:szCs w:val="18"/>
              </w:rPr>
              <w:t xml:space="preserve">and emissions from non-tropical fires which are not attributed to individual countries. </w:t>
            </w:r>
            <w:r w:rsidR="00FE043C" w:rsidRPr="2BFF1B7A">
              <w:rPr>
                <w:rFonts w:ascii="Times New Roman" w:eastAsia="Times New Roman" w:hAnsi="Times New Roman" w:cs="Times New Roman"/>
                <w:sz w:val="18"/>
                <w:szCs w:val="18"/>
              </w:rPr>
              <w:t xml:space="preserve">The remaining </w:t>
            </w:r>
            <w:r w:rsidR="090C290C" w:rsidRPr="00D5538E">
              <w:rPr>
                <w:rFonts w:ascii="Times New Roman" w:eastAsia="Times New Roman" w:hAnsi="Times New Roman" w:cs="Times New Roman"/>
                <w:sz w:val="18"/>
                <w:szCs w:val="18"/>
              </w:rPr>
              <w:t xml:space="preserve">difference </w:t>
            </w:r>
            <w:r w:rsidR="00E70D0E" w:rsidRPr="2BFF1B7A">
              <w:rPr>
                <w:rFonts w:ascii="Times New Roman" w:eastAsia="Times New Roman" w:hAnsi="Times New Roman" w:cs="Times New Roman"/>
                <w:sz w:val="18"/>
                <w:szCs w:val="18"/>
              </w:rPr>
              <w:t xml:space="preserve">(about 3%) </w:t>
            </w:r>
            <w:r w:rsidR="00574563" w:rsidRPr="2BFF1B7A">
              <w:rPr>
                <w:rFonts w:ascii="Times New Roman" w:eastAsia="Times New Roman" w:hAnsi="Times New Roman" w:cs="Times New Roman"/>
                <w:sz w:val="18"/>
                <w:szCs w:val="18"/>
              </w:rPr>
              <w:t>is</w:t>
            </w:r>
            <w:r w:rsidR="00417C10" w:rsidRPr="2BFF1B7A">
              <w:rPr>
                <w:rFonts w:ascii="Times New Roman" w:eastAsia="Times New Roman" w:hAnsi="Times New Roman" w:cs="Times New Roman"/>
                <w:sz w:val="18"/>
                <w:szCs w:val="18"/>
              </w:rPr>
              <w:t xml:space="preserve"> due to </w:t>
            </w:r>
            <w:r w:rsidR="009C5084" w:rsidRPr="2BFF1B7A">
              <w:rPr>
                <w:rFonts w:ascii="Times New Roman" w:eastAsia="Times New Roman" w:hAnsi="Times New Roman" w:cs="Times New Roman"/>
                <w:sz w:val="18"/>
                <w:szCs w:val="18"/>
              </w:rPr>
              <w:t xml:space="preserve">slight differences in the </w:t>
            </w:r>
            <w:r w:rsidR="00DF0747" w:rsidRPr="00D5538E">
              <w:rPr>
                <w:rFonts w:ascii="Times New Roman" w:eastAsia="Times New Roman" w:hAnsi="Times New Roman" w:cs="Times New Roman"/>
                <w:sz w:val="18"/>
                <w:szCs w:val="18"/>
              </w:rPr>
              <w:t>approach for identifying land that is managed versus unmanaged</w:t>
            </w:r>
            <w:r w:rsidR="001C760D" w:rsidRPr="00D5538E">
              <w:rPr>
                <w:rFonts w:ascii="Times New Roman" w:eastAsia="Times New Roman" w:hAnsi="Times New Roman" w:cs="Times New Roman"/>
                <w:sz w:val="18"/>
                <w:szCs w:val="18"/>
              </w:rPr>
              <w:t>—the country-level data are based on country estimates, whereas the global-level data are based on satellite imagery</w:t>
            </w:r>
            <w:r w:rsidR="38A66325" w:rsidRPr="00D5538E">
              <w:rPr>
                <w:rFonts w:ascii="Times New Roman" w:eastAsia="Times New Roman" w:hAnsi="Times New Roman" w:cs="Times New Roman"/>
                <w:sz w:val="18"/>
                <w:szCs w:val="18"/>
              </w:rPr>
              <w:t xml:space="preserve">. </w:t>
            </w:r>
            <w:r w:rsidR="198E2C96" w:rsidRPr="00D5538E">
              <w:rPr>
                <w:rFonts w:ascii="Times New Roman" w:eastAsia="Times New Roman" w:hAnsi="Times New Roman" w:cs="Times New Roman"/>
                <w:sz w:val="18"/>
                <w:szCs w:val="18"/>
              </w:rPr>
              <w:t>S</w:t>
            </w:r>
            <w:r w:rsidR="0EAE6210" w:rsidRPr="00D5538E">
              <w:rPr>
                <w:rFonts w:ascii="Times New Roman" w:eastAsia="Times New Roman" w:hAnsi="Times New Roman" w:cs="Times New Roman"/>
                <w:sz w:val="18"/>
                <w:szCs w:val="18"/>
              </w:rPr>
              <w:t>mall</w:t>
            </w:r>
            <w:r w:rsidR="00AA6FDD" w:rsidRPr="00D5538E">
              <w:rPr>
                <w:rFonts w:ascii="Times New Roman" w:eastAsia="Times New Roman" w:hAnsi="Times New Roman" w:cs="Times New Roman"/>
                <w:sz w:val="18"/>
                <w:szCs w:val="18"/>
              </w:rPr>
              <w:t xml:space="preserve"> residual </w:t>
            </w:r>
            <w:r w:rsidR="0EAE6210" w:rsidRPr="00D5538E">
              <w:rPr>
                <w:rFonts w:ascii="Times New Roman" w:eastAsia="Times New Roman" w:hAnsi="Times New Roman" w:cs="Times New Roman"/>
                <w:sz w:val="18"/>
                <w:szCs w:val="18"/>
              </w:rPr>
              <w:t>term</w:t>
            </w:r>
            <w:r w:rsidR="198E2C96" w:rsidRPr="00D5538E">
              <w:rPr>
                <w:rFonts w:ascii="Times New Roman" w:eastAsia="Times New Roman" w:hAnsi="Times New Roman" w:cs="Times New Roman"/>
                <w:sz w:val="18"/>
                <w:szCs w:val="18"/>
              </w:rPr>
              <w:t>s</w:t>
            </w:r>
            <w:r w:rsidR="00AA6FDD" w:rsidRPr="00D5538E">
              <w:rPr>
                <w:rFonts w:ascii="Times New Roman" w:eastAsia="Times New Roman" w:hAnsi="Times New Roman" w:cs="Times New Roman"/>
                <w:sz w:val="18"/>
                <w:szCs w:val="18"/>
              </w:rPr>
              <w:t xml:space="preserve"> </w:t>
            </w:r>
            <w:r w:rsidR="001F047F" w:rsidRPr="2BFF1B7A">
              <w:rPr>
                <w:rFonts w:ascii="Times New Roman" w:eastAsia="Times New Roman" w:hAnsi="Times New Roman" w:cs="Times New Roman"/>
                <w:sz w:val="18"/>
                <w:szCs w:val="18"/>
              </w:rPr>
              <w:t xml:space="preserve">for each subsector </w:t>
            </w:r>
            <w:r w:rsidR="00B22C69" w:rsidRPr="2BFF1B7A">
              <w:rPr>
                <w:rFonts w:ascii="Times New Roman" w:eastAsia="Times New Roman" w:hAnsi="Times New Roman" w:cs="Times New Roman"/>
                <w:sz w:val="18"/>
                <w:szCs w:val="18"/>
              </w:rPr>
              <w:t xml:space="preserve">are added </w:t>
            </w:r>
            <w:r w:rsidR="00AA6FDD" w:rsidRPr="00D5538E">
              <w:rPr>
                <w:rFonts w:ascii="Times New Roman" w:eastAsia="Times New Roman" w:hAnsi="Times New Roman" w:cs="Times New Roman"/>
                <w:sz w:val="18"/>
                <w:szCs w:val="18"/>
              </w:rPr>
              <w:t xml:space="preserve">to account for </w:t>
            </w:r>
            <w:r w:rsidR="0EAE6210" w:rsidRPr="00D5538E">
              <w:rPr>
                <w:rFonts w:ascii="Times New Roman" w:eastAsia="Times New Roman" w:hAnsi="Times New Roman" w:cs="Times New Roman"/>
                <w:sz w:val="18"/>
                <w:szCs w:val="18"/>
              </w:rPr>
              <w:t>th</w:t>
            </w:r>
            <w:r w:rsidR="198E2C96" w:rsidRPr="00D5538E">
              <w:rPr>
                <w:rFonts w:ascii="Times New Roman" w:eastAsia="Times New Roman" w:hAnsi="Times New Roman" w:cs="Times New Roman"/>
                <w:sz w:val="18"/>
                <w:szCs w:val="18"/>
              </w:rPr>
              <w:t>ese</w:t>
            </w:r>
            <w:r w:rsidR="00AA6FDD" w:rsidRPr="00D5538E">
              <w:rPr>
                <w:rFonts w:ascii="Times New Roman" w:eastAsia="Times New Roman" w:hAnsi="Times New Roman" w:cs="Times New Roman"/>
                <w:sz w:val="18"/>
                <w:szCs w:val="18"/>
              </w:rPr>
              <w:t xml:space="preserve"> </w:t>
            </w:r>
            <w:r w:rsidR="00F35E76" w:rsidRPr="2BFF1B7A">
              <w:rPr>
                <w:rFonts w:ascii="Times New Roman" w:eastAsia="Times New Roman" w:hAnsi="Times New Roman" w:cs="Times New Roman"/>
                <w:sz w:val="18"/>
                <w:szCs w:val="18"/>
              </w:rPr>
              <w:t xml:space="preserve">and other very minor </w:t>
            </w:r>
            <w:r w:rsidR="00AA6FDD" w:rsidRPr="00D5538E">
              <w:rPr>
                <w:rFonts w:ascii="Times New Roman" w:eastAsia="Times New Roman" w:hAnsi="Times New Roman" w:cs="Times New Roman"/>
                <w:sz w:val="18"/>
                <w:szCs w:val="18"/>
              </w:rPr>
              <w:t>difference</w:t>
            </w:r>
            <w:r w:rsidR="0DE08D11" w:rsidRPr="00D5538E">
              <w:rPr>
                <w:rFonts w:ascii="Times New Roman" w:eastAsia="Times New Roman" w:hAnsi="Times New Roman" w:cs="Times New Roman"/>
                <w:sz w:val="18"/>
                <w:szCs w:val="18"/>
              </w:rPr>
              <w:t>s</w:t>
            </w:r>
            <w:r w:rsidR="00AA6FDD" w:rsidRPr="00D5538E">
              <w:rPr>
                <w:rFonts w:ascii="Times New Roman" w:eastAsia="Times New Roman" w:hAnsi="Times New Roman" w:cs="Times New Roman"/>
                <w:sz w:val="18"/>
                <w:szCs w:val="18"/>
              </w:rPr>
              <w:t xml:space="preserve"> </w:t>
            </w:r>
            <w:r w:rsidR="00F35E76" w:rsidRPr="2BFF1B7A">
              <w:rPr>
                <w:rFonts w:ascii="Times New Roman" w:eastAsia="Times New Roman" w:hAnsi="Times New Roman" w:cs="Times New Roman"/>
                <w:sz w:val="18"/>
                <w:szCs w:val="18"/>
              </w:rPr>
              <w:t xml:space="preserve">so that </w:t>
            </w:r>
            <w:r w:rsidR="0029439F" w:rsidRPr="2BFF1B7A">
              <w:rPr>
                <w:rFonts w:ascii="Times New Roman" w:eastAsia="Times New Roman" w:hAnsi="Times New Roman" w:cs="Times New Roman"/>
                <w:sz w:val="18"/>
                <w:szCs w:val="18"/>
              </w:rPr>
              <w:t>summing over all countries and the residuals equals the global total</w:t>
            </w:r>
            <w:r w:rsidR="00AA6FDD" w:rsidRPr="00D5538E">
              <w:rPr>
                <w:rFonts w:ascii="Times New Roman" w:eastAsia="Times New Roman" w:hAnsi="Times New Roman" w:cs="Times New Roman"/>
                <w:sz w:val="18"/>
                <w:szCs w:val="18"/>
              </w:rPr>
              <w:t xml:space="preserve">. </w:t>
            </w:r>
          </w:p>
          <w:p w14:paraId="3A661C43" w14:textId="14AA5C56" w:rsidR="002E34D5" w:rsidRPr="00D5538E" w:rsidRDefault="002E34D5" w:rsidP="002E34D5">
            <w:pPr>
              <w:spacing w:after="0" w:line="240" w:lineRule="auto"/>
              <w:ind w:right="75"/>
              <w:textAlignment w:val="baseline"/>
              <w:rPr>
                <w:rFonts w:ascii="Times New Roman" w:eastAsia="Times New Roman" w:hAnsi="Times New Roman" w:cs="Times New Roman"/>
                <w:sz w:val="18"/>
                <w:szCs w:val="18"/>
              </w:rPr>
            </w:pPr>
          </w:p>
          <w:p w14:paraId="7A570B15" w14:textId="18B950C3" w:rsidR="002E34D5" w:rsidRPr="00D5538E" w:rsidRDefault="00B70C96" w:rsidP="002E34D5">
            <w:pPr>
              <w:spacing w:after="0" w:line="240" w:lineRule="auto"/>
              <w:ind w:right="75"/>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Disaggregated</w:t>
            </w:r>
            <w:r w:rsidR="003637E1">
              <w:rPr>
                <w:rFonts w:ascii="Times New Roman" w:eastAsia="Times New Roman" w:hAnsi="Times New Roman" w:cs="Times New Roman"/>
                <w:sz w:val="18"/>
                <w:szCs w:val="18"/>
              </w:rPr>
              <w:t xml:space="preserve"> </w:t>
            </w:r>
            <w:r w:rsidR="000744C3">
              <w:rPr>
                <w:rFonts w:ascii="Times New Roman" w:eastAsia="Times New Roman" w:hAnsi="Times New Roman" w:cs="Times New Roman"/>
                <w:sz w:val="18"/>
                <w:szCs w:val="18"/>
              </w:rPr>
              <w:t xml:space="preserve">data </w:t>
            </w:r>
            <w:r>
              <w:rPr>
                <w:rFonts w:ascii="Times New Roman" w:eastAsia="Times New Roman" w:hAnsi="Times New Roman" w:cs="Times New Roman"/>
                <w:sz w:val="18"/>
                <w:szCs w:val="18"/>
              </w:rPr>
              <w:t xml:space="preserve">by country, sector, and GHG </w:t>
            </w:r>
            <w:r w:rsidR="000744C3">
              <w:rPr>
                <w:rFonts w:ascii="Times New Roman" w:eastAsia="Times New Roman" w:hAnsi="Times New Roman" w:cs="Times New Roman"/>
                <w:sz w:val="18"/>
                <w:szCs w:val="18"/>
              </w:rPr>
              <w:t xml:space="preserve">are available </w:t>
            </w:r>
            <w:r w:rsidR="00383044">
              <w:rPr>
                <w:rFonts w:ascii="Times New Roman" w:eastAsia="Times New Roman" w:hAnsi="Times New Roman" w:cs="Times New Roman"/>
                <w:sz w:val="18"/>
                <w:szCs w:val="18"/>
              </w:rPr>
              <w:t>on the World Bank Wo</w:t>
            </w:r>
            <w:r w:rsidR="004606FC">
              <w:rPr>
                <w:rFonts w:ascii="Times New Roman" w:eastAsia="Times New Roman" w:hAnsi="Times New Roman" w:cs="Times New Roman"/>
                <w:sz w:val="18"/>
                <w:szCs w:val="18"/>
              </w:rPr>
              <w:t xml:space="preserve">rld Development Indicators </w:t>
            </w:r>
            <w:r w:rsidR="003637E1">
              <w:rPr>
                <w:rFonts w:ascii="Times New Roman" w:eastAsia="Times New Roman" w:hAnsi="Times New Roman" w:cs="Times New Roman"/>
                <w:sz w:val="18"/>
                <w:szCs w:val="18"/>
              </w:rPr>
              <w:t xml:space="preserve">platform </w:t>
            </w:r>
            <w:r w:rsidR="004606FC">
              <w:rPr>
                <w:rFonts w:ascii="Times New Roman" w:eastAsia="Times New Roman" w:hAnsi="Times New Roman" w:cs="Times New Roman"/>
                <w:sz w:val="18"/>
                <w:szCs w:val="18"/>
              </w:rPr>
              <w:t>(</w:t>
            </w:r>
            <w:r w:rsidR="004606FC" w:rsidRPr="004606FC">
              <w:rPr>
                <w:rFonts w:ascii="Times New Roman" w:eastAsia="Times New Roman" w:hAnsi="Times New Roman" w:cs="Times New Roman"/>
                <w:sz w:val="18"/>
                <w:szCs w:val="18"/>
              </w:rPr>
              <w:t>https://databank.worldbank.org/source/world-development-indicators</w:t>
            </w:r>
            <w:r w:rsidR="004606FC">
              <w:rPr>
                <w:rFonts w:ascii="Times New Roman" w:eastAsia="Times New Roman" w:hAnsi="Times New Roman" w:cs="Times New Roman"/>
                <w:sz w:val="18"/>
                <w:szCs w:val="18"/>
              </w:rPr>
              <w:t>).</w:t>
            </w:r>
          </w:p>
          <w:p w14:paraId="00870FBE" w14:textId="77777777" w:rsidR="002E34D5" w:rsidRPr="00D5538E" w:rsidRDefault="002E34D5" w:rsidP="00BB7ADC">
            <w:pPr>
              <w:spacing w:after="0" w:line="240" w:lineRule="auto"/>
              <w:ind w:right="75"/>
              <w:textAlignment w:val="baseline"/>
              <w:rPr>
                <w:rFonts w:ascii="Times New Roman" w:eastAsia="Times New Roman" w:hAnsi="Times New Roman" w:cs="Times New Roman"/>
                <w:sz w:val="18"/>
                <w:szCs w:val="18"/>
              </w:rPr>
            </w:pPr>
          </w:p>
          <w:p w14:paraId="44C99530" w14:textId="1A69E410" w:rsidR="00701424" w:rsidRPr="0054513B" w:rsidRDefault="00701424" w:rsidP="00BB7ADC">
            <w:pPr>
              <w:spacing w:after="0" w:line="240" w:lineRule="auto"/>
              <w:ind w:right="75"/>
              <w:textAlignment w:val="baseline"/>
              <w:rPr>
                <w:rFonts w:ascii="Times New Roman" w:eastAsia="Times New Roman" w:hAnsi="Times New Roman" w:cs="Times New Roman"/>
                <w:sz w:val="20"/>
                <w:szCs w:val="20"/>
              </w:rPr>
            </w:pPr>
          </w:p>
        </w:tc>
      </w:tr>
      <w:tr w:rsidR="008E0EDE" w:rsidRPr="0054513B" w14:paraId="5845DCC5" w14:textId="77777777" w:rsidTr="2BFF1B7A">
        <w:trPr>
          <w:trHeight w:val="678"/>
        </w:trPr>
        <w:tc>
          <w:tcPr>
            <w:tcW w:w="767" w:type="dxa"/>
            <w:shd w:val="clear" w:color="auto" w:fill="F2F2F2" w:themeFill="background1" w:themeFillShade="F2"/>
            <w:vAlign w:val="center"/>
          </w:tcPr>
          <w:p w14:paraId="05E30E67" w14:textId="7131D48F" w:rsidR="008E0EDE" w:rsidRDefault="008E0EDE" w:rsidP="008E0EDE">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Method of calculation</w:t>
            </w:r>
          </w:p>
          <w:p w14:paraId="4BBE33B5" w14:textId="67FF6BE5" w:rsidR="00BE4320" w:rsidRPr="0054513B" w:rsidRDefault="008E0EDE" w:rsidP="008E0EDE">
            <w:pPr>
              <w:spacing w:after="0" w:line="240" w:lineRule="auto"/>
              <w:rPr>
                <w:rFonts w:ascii="Times New Roman" w:eastAsia="Times New Roman" w:hAnsi="Times New Roman" w:cs="Times New Roman"/>
                <w:sz w:val="20"/>
                <w:szCs w:val="20"/>
              </w:rPr>
            </w:pPr>
            <w:r w:rsidRPr="008A2E31">
              <w:rPr>
                <w:rFonts w:ascii="Times New Roman" w:eastAsia="Times New Roman" w:hAnsi="Times New Roman" w:cs="Times New Roman"/>
                <w:sz w:val="20"/>
                <w:szCs w:val="20"/>
              </w:rPr>
              <w:t>(</w:t>
            </w:r>
            <w:r w:rsidR="00BE4320">
              <w:rPr>
                <w:rFonts w:ascii="Times New Roman" w:eastAsia="Times New Roman" w:hAnsi="Times New Roman" w:cs="Times New Roman"/>
                <w:sz w:val="20"/>
                <w:szCs w:val="20"/>
              </w:rPr>
              <w:t>Disaggregation</w:t>
            </w:r>
            <w:r w:rsidRPr="008A2E31">
              <w:rPr>
                <w:rFonts w:ascii="Times New Roman" w:eastAsia="Times New Roman" w:hAnsi="Times New Roman" w:cs="Times New Roman"/>
                <w:sz w:val="20"/>
                <w:szCs w:val="20"/>
              </w:rPr>
              <w:t>)</w:t>
            </w:r>
          </w:p>
        </w:tc>
        <w:tc>
          <w:tcPr>
            <w:tcW w:w="8854" w:type="dxa"/>
            <w:gridSpan w:val="2"/>
            <w:tcBorders>
              <w:top w:val="single" w:sz="6" w:space="0" w:color="auto"/>
              <w:left w:val="single" w:sz="6" w:space="0" w:color="auto"/>
              <w:bottom w:val="single" w:sz="6" w:space="0" w:color="auto"/>
              <w:right w:val="single" w:sz="6" w:space="0" w:color="auto"/>
            </w:tcBorders>
            <w:shd w:val="clear" w:color="auto" w:fill="auto"/>
          </w:tcPr>
          <w:p w14:paraId="721B715D"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1AEFF8EF" w14:textId="66CC3B6B" w:rsidR="008E0EDE" w:rsidRPr="00027C36" w:rsidRDefault="008E0EDE" w:rsidP="00142E13">
            <w:pPr>
              <w:spacing w:after="0" w:line="240" w:lineRule="auto"/>
              <w:ind w:right="75"/>
              <w:textAlignment w:val="baseline"/>
              <w:rPr>
                <w:rFonts w:ascii="Times New Roman" w:eastAsia="Times New Roman" w:hAnsi="Times New Roman" w:cs="Times New Roman"/>
                <w:b/>
                <w:bCs/>
                <w:i/>
                <w:iCs/>
                <w:sz w:val="20"/>
                <w:szCs w:val="20"/>
              </w:rPr>
            </w:pPr>
            <w:r w:rsidRPr="00027C36">
              <w:rPr>
                <w:rFonts w:ascii="Times New Roman" w:eastAsia="Times New Roman" w:hAnsi="Times New Roman" w:cs="Times New Roman"/>
                <w:b/>
                <w:bCs/>
                <w:i/>
                <w:iCs/>
                <w:sz w:val="20"/>
                <w:szCs w:val="20"/>
              </w:rPr>
              <w:t xml:space="preserve">If </w:t>
            </w:r>
            <w:r w:rsidR="002E2CB1" w:rsidRPr="00027C36">
              <w:rPr>
                <w:rFonts w:ascii="Times New Roman" w:eastAsia="Times New Roman" w:hAnsi="Times New Roman" w:cs="Times New Roman"/>
                <w:b/>
                <w:bCs/>
                <w:i/>
                <w:iCs/>
                <w:sz w:val="20"/>
                <w:szCs w:val="20"/>
              </w:rPr>
              <w:t>any of the boxes under the disaggregation section were checked, please provide a brief explanation of the method of disaggregation employed (</w:t>
            </w:r>
            <w:r w:rsidR="00497252" w:rsidRPr="00027C36">
              <w:rPr>
                <w:rFonts w:ascii="Times New Roman" w:eastAsia="Times New Roman" w:hAnsi="Times New Roman" w:cs="Times New Roman"/>
                <w:b/>
                <w:bCs/>
                <w:i/>
                <w:iCs/>
                <w:sz w:val="20"/>
                <w:szCs w:val="20"/>
              </w:rPr>
              <w:t>e.g., if data are sex-disaggregated, are reported figures based on an enumeration or estimation of</w:t>
            </w:r>
            <w:r w:rsidR="0022100E" w:rsidRPr="00027C36">
              <w:rPr>
                <w:rFonts w:ascii="Times New Roman" w:eastAsia="Times New Roman" w:hAnsi="Times New Roman" w:cs="Times New Roman"/>
                <w:b/>
                <w:bCs/>
                <w:i/>
                <w:iCs/>
                <w:sz w:val="20"/>
                <w:szCs w:val="20"/>
              </w:rPr>
              <w:t xml:space="preserve"> observations in this stratum</w:t>
            </w:r>
            <w:r w:rsidR="002E2CB1" w:rsidRPr="00027C36">
              <w:rPr>
                <w:rFonts w:ascii="Times New Roman" w:eastAsia="Times New Roman" w:hAnsi="Times New Roman" w:cs="Times New Roman"/>
                <w:b/>
                <w:bCs/>
                <w:i/>
                <w:iCs/>
                <w:sz w:val="20"/>
                <w:szCs w:val="20"/>
              </w:rPr>
              <w:t>)</w:t>
            </w:r>
            <w:r w:rsidR="00497252" w:rsidRPr="00027C36">
              <w:rPr>
                <w:rFonts w:ascii="Times New Roman" w:eastAsia="Times New Roman" w:hAnsi="Times New Roman" w:cs="Times New Roman"/>
                <w:b/>
                <w:bCs/>
                <w:i/>
                <w:iCs/>
                <w:sz w:val="20"/>
                <w:szCs w:val="20"/>
              </w:rPr>
              <w:t>.</w:t>
            </w:r>
          </w:p>
          <w:p w14:paraId="399A5E9B" w14:textId="77777777" w:rsidR="009456CC" w:rsidRDefault="009456CC" w:rsidP="00142E13">
            <w:pPr>
              <w:spacing w:after="0" w:line="240" w:lineRule="auto"/>
              <w:ind w:right="75"/>
              <w:textAlignment w:val="baseline"/>
              <w:rPr>
                <w:rFonts w:ascii="Times New Roman" w:eastAsia="Times New Roman" w:hAnsi="Times New Roman" w:cs="Times New Roman"/>
                <w:sz w:val="20"/>
                <w:szCs w:val="20"/>
              </w:rPr>
            </w:pPr>
          </w:p>
          <w:p w14:paraId="255CC7EA" w14:textId="5A48C139" w:rsidR="004F42D6" w:rsidRPr="00D5538E" w:rsidRDefault="004F42D6" w:rsidP="001B62EB">
            <w:pPr>
              <w:spacing w:after="0" w:line="240" w:lineRule="auto"/>
              <w:ind w:right="75"/>
              <w:textAlignment w:val="baseline"/>
              <w:rPr>
                <w:rFonts w:ascii="Times New Roman" w:eastAsia="Times New Roman" w:hAnsi="Times New Roman" w:cs="Times New Roman"/>
                <w:sz w:val="18"/>
                <w:szCs w:val="18"/>
              </w:rPr>
            </w:pPr>
            <w:r w:rsidRPr="00D5538E">
              <w:rPr>
                <w:rFonts w:ascii="Times New Roman" w:eastAsia="Times New Roman" w:hAnsi="Times New Roman" w:cs="Times New Roman"/>
                <w:sz w:val="18"/>
                <w:szCs w:val="18"/>
              </w:rPr>
              <w:t xml:space="preserve">For the global data from the EDGAR report, </w:t>
            </w:r>
            <w:r w:rsidR="0000322B" w:rsidRPr="00D5538E">
              <w:rPr>
                <w:rFonts w:ascii="Times New Roman" w:eastAsia="Times New Roman" w:hAnsi="Times New Roman" w:cs="Times New Roman"/>
                <w:sz w:val="18"/>
                <w:szCs w:val="18"/>
              </w:rPr>
              <w:t xml:space="preserve">emissions are disaggregated </w:t>
            </w:r>
            <w:r w:rsidR="00FB7C93" w:rsidRPr="00D5538E">
              <w:rPr>
                <w:rFonts w:ascii="Times New Roman" w:eastAsia="Times New Roman" w:hAnsi="Times New Roman" w:cs="Times New Roman"/>
                <w:sz w:val="18"/>
                <w:szCs w:val="18"/>
              </w:rPr>
              <w:t>by</w:t>
            </w:r>
            <w:r w:rsidR="0000322B" w:rsidRPr="00D5538E">
              <w:rPr>
                <w:rFonts w:ascii="Times New Roman" w:eastAsia="Times New Roman" w:hAnsi="Times New Roman" w:cs="Times New Roman"/>
                <w:sz w:val="18"/>
                <w:szCs w:val="18"/>
              </w:rPr>
              <w:t xml:space="preserve"> </w:t>
            </w:r>
            <w:r w:rsidR="00631F47" w:rsidRPr="00D5538E">
              <w:rPr>
                <w:rFonts w:ascii="Times New Roman" w:eastAsia="Times New Roman" w:hAnsi="Times New Roman" w:cs="Times New Roman"/>
                <w:sz w:val="18"/>
                <w:szCs w:val="18"/>
              </w:rPr>
              <w:t>1</w:t>
            </w:r>
            <w:r w:rsidR="2B2736F1" w:rsidRPr="00D5538E">
              <w:rPr>
                <w:rFonts w:ascii="Times New Roman" w:eastAsia="Times New Roman" w:hAnsi="Times New Roman" w:cs="Times New Roman"/>
                <w:sz w:val="18"/>
                <w:szCs w:val="18"/>
              </w:rPr>
              <w:t>3</w:t>
            </w:r>
            <w:r w:rsidR="00FB7C93" w:rsidRPr="00D5538E">
              <w:rPr>
                <w:rFonts w:ascii="Times New Roman" w:eastAsia="Times New Roman" w:hAnsi="Times New Roman" w:cs="Times New Roman"/>
                <w:sz w:val="18"/>
                <w:szCs w:val="18"/>
              </w:rPr>
              <w:t xml:space="preserve"> sectors</w:t>
            </w:r>
            <w:r w:rsidR="00BC69D2" w:rsidRPr="00D5538E">
              <w:rPr>
                <w:rFonts w:ascii="Times New Roman" w:eastAsia="Times New Roman" w:hAnsi="Times New Roman" w:cs="Times New Roman"/>
                <w:sz w:val="18"/>
                <w:szCs w:val="18"/>
              </w:rPr>
              <w:t xml:space="preserve"> and </w:t>
            </w:r>
            <w:r w:rsidR="2B2736F1" w:rsidRPr="00D5538E">
              <w:rPr>
                <w:rFonts w:ascii="Times New Roman" w:eastAsia="Times New Roman" w:hAnsi="Times New Roman" w:cs="Times New Roman"/>
                <w:sz w:val="18"/>
                <w:szCs w:val="18"/>
              </w:rPr>
              <w:t>4</w:t>
            </w:r>
            <w:r w:rsidR="00BC69D2" w:rsidRPr="00D5538E">
              <w:rPr>
                <w:rFonts w:ascii="Times New Roman" w:eastAsia="Times New Roman" w:hAnsi="Times New Roman" w:cs="Times New Roman"/>
                <w:sz w:val="18"/>
                <w:szCs w:val="18"/>
              </w:rPr>
              <w:t xml:space="preserve"> GHG categories</w:t>
            </w:r>
            <w:r w:rsidR="2B2736F1" w:rsidRPr="00D5538E">
              <w:rPr>
                <w:rFonts w:ascii="Times New Roman" w:eastAsia="Times New Roman" w:hAnsi="Times New Roman" w:cs="Times New Roman"/>
                <w:sz w:val="18"/>
                <w:szCs w:val="18"/>
              </w:rPr>
              <w:t xml:space="preserve"> (CO2, CH4, N2O, and F-Gasses)</w:t>
            </w:r>
            <w:r w:rsidR="0AB0BD1C" w:rsidRPr="00D5538E">
              <w:rPr>
                <w:rFonts w:ascii="Times New Roman" w:eastAsia="Times New Roman" w:hAnsi="Times New Roman" w:cs="Times New Roman"/>
                <w:sz w:val="18"/>
                <w:szCs w:val="18"/>
              </w:rPr>
              <w:t xml:space="preserve">. </w:t>
            </w:r>
            <w:r w:rsidR="1CAE2059" w:rsidRPr="00D5538E">
              <w:rPr>
                <w:rFonts w:ascii="Times New Roman" w:eastAsia="Times New Roman" w:hAnsi="Times New Roman" w:cs="Times New Roman"/>
                <w:sz w:val="18"/>
                <w:szCs w:val="18"/>
              </w:rPr>
              <w:t xml:space="preserve">We preserve this disaggregation, </w:t>
            </w:r>
            <w:r w:rsidR="1CAE2059" w:rsidRPr="00410BCC">
              <w:rPr>
                <w:rFonts w:ascii="Times New Roman" w:eastAsia="Times New Roman" w:hAnsi="Times New Roman" w:cs="Times New Roman"/>
                <w:sz w:val="18"/>
                <w:szCs w:val="18"/>
              </w:rPr>
              <w:t>although rename Fuel Exploitation</w:t>
            </w:r>
            <w:r w:rsidR="549D3211" w:rsidRPr="00410BCC">
              <w:rPr>
                <w:rFonts w:ascii="Times New Roman" w:eastAsia="Times New Roman" w:hAnsi="Times New Roman" w:cs="Times New Roman"/>
                <w:sz w:val="18"/>
                <w:szCs w:val="18"/>
              </w:rPr>
              <w:t xml:space="preserve"> </w:t>
            </w:r>
            <w:r w:rsidR="724301DA" w:rsidRPr="00410BCC">
              <w:rPr>
                <w:rFonts w:ascii="Times New Roman" w:eastAsia="Times New Roman" w:hAnsi="Times New Roman" w:cs="Times New Roman"/>
                <w:sz w:val="18"/>
                <w:szCs w:val="18"/>
              </w:rPr>
              <w:t xml:space="preserve">as </w:t>
            </w:r>
            <w:r w:rsidR="00BF55C9" w:rsidRPr="00410BCC">
              <w:rPr>
                <w:rFonts w:ascii="Times New Roman" w:eastAsia="Times New Roman" w:hAnsi="Times New Roman" w:cs="Times New Roman"/>
                <w:sz w:val="18"/>
                <w:szCs w:val="18"/>
              </w:rPr>
              <w:t>F</w:t>
            </w:r>
            <w:r w:rsidR="724301DA" w:rsidRPr="00410BCC">
              <w:rPr>
                <w:rFonts w:ascii="Times New Roman" w:eastAsia="Times New Roman" w:hAnsi="Times New Roman" w:cs="Times New Roman"/>
                <w:sz w:val="18"/>
                <w:szCs w:val="18"/>
              </w:rPr>
              <w:t xml:space="preserve">ugitive </w:t>
            </w:r>
            <w:r w:rsidR="00BF55C9" w:rsidRPr="00410BCC">
              <w:rPr>
                <w:rFonts w:ascii="Times New Roman" w:eastAsia="Times New Roman" w:hAnsi="Times New Roman" w:cs="Times New Roman"/>
                <w:sz w:val="18"/>
                <w:szCs w:val="18"/>
              </w:rPr>
              <w:t>E</w:t>
            </w:r>
            <w:r w:rsidR="724301DA" w:rsidRPr="00410BCC">
              <w:rPr>
                <w:rFonts w:ascii="Times New Roman" w:eastAsia="Times New Roman" w:hAnsi="Times New Roman" w:cs="Times New Roman"/>
                <w:sz w:val="18"/>
                <w:szCs w:val="18"/>
              </w:rPr>
              <w:t>missions</w:t>
            </w:r>
            <w:r w:rsidR="724301DA" w:rsidRPr="00D5538E">
              <w:rPr>
                <w:rFonts w:ascii="Times New Roman" w:eastAsia="Times New Roman" w:hAnsi="Times New Roman" w:cs="Times New Roman"/>
                <w:sz w:val="18"/>
                <w:szCs w:val="18"/>
              </w:rPr>
              <w:t>,</w:t>
            </w:r>
            <w:r w:rsidR="253E4C3F" w:rsidRPr="00D5538E">
              <w:rPr>
                <w:rFonts w:ascii="Times New Roman" w:eastAsia="Times New Roman" w:hAnsi="Times New Roman" w:cs="Times New Roman"/>
                <w:sz w:val="18"/>
                <w:szCs w:val="18"/>
              </w:rPr>
              <w:t xml:space="preserve"> </w:t>
            </w:r>
            <w:r w:rsidR="4EF84E08" w:rsidRPr="00D5538E">
              <w:rPr>
                <w:rFonts w:ascii="Times New Roman" w:eastAsia="Times New Roman" w:hAnsi="Times New Roman" w:cs="Times New Roman"/>
                <w:sz w:val="18"/>
                <w:szCs w:val="18"/>
              </w:rPr>
              <w:t>to be consistent with the IPCC sector names presented in the 2006 IPCC Guidelines for National Greenhouse Gas Inventories</w:t>
            </w:r>
            <w:r w:rsidR="253E4C3F" w:rsidRPr="00D5538E">
              <w:rPr>
                <w:rFonts w:ascii="Times New Roman" w:eastAsia="Times New Roman" w:hAnsi="Times New Roman" w:cs="Times New Roman"/>
                <w:sz w:val="18"/>
                <w:szCs w:val="18"/>
              </w:rPr>
              <w:t>.</w:t>
            </w:r>
          </w:p>
          <w:p w14:paraId="5A24C517" w14:textId="77777777" w:rsidR="00BC69D2" w:rsidRPr="00D5538E" w:rsidRDefault="00BC69D2" w:rsidP="001B62EB">
            <w:pPr>
              <w:spacing w:after="0" w:line="240" w:lineRule="auto"/>
              <w:ind w:right="75"/>
              <w:textAlignment w:val="baseline"/>
              <w:rPr>
                <w:rFonts w:ascii="Times New Roman" w:eastAsia="Times New Roman" w:hAnsi="Times New Roman" w:cs="Times New Roman"/>
                <w:sz w:val="18"/>
                <w:szCs w:val="18"/>
              </w:rPr>
            </w:pPr>
          </w:p>
          <w:p w14:paraId="5F4ACDAB" w14:textId="3F791754" w:rsidR="001B62EB" w:rsidRPr="00D5538E" w:rsidRDefault="00BC69D2" w:rsidP="001B62EB">
            <w:pPr>
              <w:spacing w:after="0" w:line="240" w:lineRule="auto"/>
              <w:ind w:right="75"/>
              <w:textAlignment w:val="baseline"/>
              <w:rPr>
                <w:rFonts w:ascii="Times New Roman" w:eastAsia="Times New Roman" w:hAnsi="Times New Roman" w:cs="Times New Roman"/>
                <w:sz w:val="18"/>
                <w:szCs w:val="18"/>
              </w:rPr>
            </w:pPr>
            <w:r w:rsidRPr="00D5538E">
              <w:rPr>
                <w:rFonts w:ascii="Times New Roman" w:eastAsia="Times New Roman" w:hAnsi="Times New Roman" w:cs="Times New Roman"/>
                <w:sz w:val="18"/>
                <w:szCs w:val="18"/>
              </w:rPr>
              <w:t>For the country-level</w:t>
            </w:r>
            <w:r w:rsidR="00890D47" w:rsidRPr="00D5538E">
              <w:rPr>
                <w:rFonts w:ascii="Times New Roman" w:eastAsia="Times New Roman" w:hAnsi="Times New Roman" w:cs="Times New Roman"/>
                <w:sz w:val="18"/>
                <w:szCs w:val="18"/>
              </w:rPr>
              <w:t xml:space="preserve"> indicator</w:t>
            </w:r>
            <w:r w:rsidRPr="00D5538E">
              <w:rPr>
                <w:rFonts w:ascii="Times New Roman" w:eastAsia="Times New Roman" w:hAnsi="Times New Roman" w:cs="Times New Roman"/>
                <w:sz w:val="18"/>
                <w:szCs w:val="18"/>
              </w:rPr>
              <w:t xml:space="preserve">, disaggregated data </w:t>
            </w:r>
            <w:r w:rsidR="00890D47" w:rsidRPr="00D5538E">
              <w:rPr>
                <w:rFonts w:ascii="Times New Roman" w:eastAsia="Times New Roman" w:hAnsi="Times New Roman" w:cs="Times New Roman"/>
                <w:sz w:val="18"/>
                <w:szCs w:val="18"/>
              </w:rPr>
              <w:t>derived</w:t>
            </w:r>
            <w:r w:rsidR="001B62EB" w:rsidRPr="00D5538E">
              <w:rPr>
                <w:rFonts w:ascii="Times New Roman" w:eastAsia="Times New Roman" w:hAnsi="Times New Roman" w:cs="Times New Roman"/>
                <w:sz w:val="18"/>
                <w:szCs w:val="18"/>
              </w:rPr>
              <w:t xml:space="preserve"> from </w:t>
            </w:r>
            <w:r w:rsidR="005033F0" w:rsidRPr="00D5538E">
              <w:rPr>
                <w:rFonts w:ascii="Times New Roman" w:eastAsia="Times New Roman" w:hAnsi="Times New Roman" w:cs="Times New Roman"/>
                <w:sz w:val="18"/>
                <w:szCs w:val="18"/>
              </w:rPr>
              <w:t xml:space="preserve">the </w:t>
            </w:r>
            <w:r w:rsidR="00A8516E" w:rsidRPr="00410BCC">
              <w:rPr>
                <w:rFonts w:ascii="Times New Roman" w:eastAsia="Times New Roman" w:hAnsi="Times New Roman" w:cs="Times New Roman"/>
                <w:sz w:val="18"/>
                <w:szCs w:val="18"/>
              </w:rPr>
              <w:t>EDGAR_2024_GHG</w:t>
            </w:r>
            <w:r w:rsidR="00A8516E" w:rsidRPr="00D5538E">
              <w:rPr>
                <w:rFonts w:ascii="Times New Roman" w:eastAsia="Times New Roman" w:hAnsi="Times New Roman" w:cs="Times New Roman"/>
                <w:sz w:val="18"/>
                <w:szCs w:val="18"/>
              </w:rPr>
              <w:t xml:space="preserve"> </w:t>
            </w:r>
            <w:r w:rsidR="005033F0" w:rsidRPr="00D5538E">
              <w:rPr>
                <w:rFonts w:ascii="Times New Roman" w:eastAsia="Times New Roman" w:hAnsi="Times New Roman" w:cs="Times New Roman"/>
                <w:sz w:val="18"/>
                <w:szCs w:val="18"/>
              </w:rPr>
              <w:t>dataset</w:t>
            </w:r>
            <w:r w:rsidR="001B62EB" w:rsidRPr="00D5538E">
              <w:rPr>
                <w:rFonts w:ascii="Times New Roman" w:eastAsia="Times New Roman" w:hAnsi="Times New Roman" w:cs="Times New Roman"/>
                <w:sz w:val="18"/>
                <w:szCs w:val="18"/>
              </w:rPr>
              <w:t xml:space="preserve"> </w:t>
            </w:r>
            <w:r w:rsidR="004B74EB" w:rsidRPr="00D5538E">
              <w:rPr>
                <w:rFonts w:ascii="Times New Roman" w:eastAsia="Times New Roman" w:hAnsi="Times New Roman" w:cs="Times New Roman"/>
                <w:sz w:val="18"/>
                <w:szCs w:val="18"/>
              </w:rPr>
              <w:t>and</w:t>
            </w:r>
            <w:r w:rsidR="00A8516E" w:rsidRPr="00410BCC">
              <w:rPr>
                <w:rFonts w:ascii="Times New Roman" w:eastAsia="Times New Roman" w:hAnsi="Times New Roman" w:cs="Times New Roman"/>
                <w:sz w:val="18"/>
                <w:szCs w:val="18"/>
              </w:rPr>
              <w:t xml:space="preserve"> EU Forest Observatory</w:t>
            </w:r>
            <w:r w:rsidR="00665940" w:rsidRPr="00D5538E">
              <w:rPr>
                <w:rFonts w:ascii="Times New Roman" w:eastAsia="Times New Roman" w:hAnsi="Times New Roman" w:cs="Times New Roman"/>
                <w:sz w:val="18"/>
                <w:szCs w:val="18"/>
              </w:rPr>
              <w:t xml:space="preserve"> </w:t>
            </w:r>
            <w:r w:rsidR="001B62EB" w:rsidRPr="00D5538E">
              <w:rPr>
                <w:rFonts w:ascii="Times New Roman" w:eastAsia="Times New Roman" w:hAnsi="Times New Roman" w:cs="Times New Roman"/>
                <w:sz w:val="18"/>
                <w:szCs w:val="18"/>
              </w:rPr>
              <w:t>are provided at the national</w:t>
            </w:r>
            <w:r w:rsidR="001108B2" w:rsidRPr="00D5538E">
              <w:rPr>
                <w:rFonts w:ascii="Times New Roman" w:eastAsia="Times New Roman" w:hAnsi="Times New Roman" w:cs="Times New Roman"/>
                <w:sz w:val="18"/>
                <w:szCs w:val="18"/>
              </w:rPr>
              <w:t xml:space="preserve"> level, </w:t>
            </w:r>
            <w:r w:rsidR="001B62EB" w:rsidRPr="00D5538E">
              <w:rPr>
                <w:rFonts w:ascii="Times New Roman" w:eastAsia="Times New Roman" w:hAnsi="Times New Roman" w:cs="Times New Roman"/>
                <w:sz w:val="18"/>
                <w:szCs w:val="18"/>
              </w:rPr>
              <w:t xml:space="preserve">disaggregated by 37 subsectors and </w:t>
            </w:r>
            <w:r w:rsidR="0034420F" w:rsidRPr="00D5538E">
              <w:rPr>
                <w:rFonts w:ascii="Times New Roman" w:eastAsia="Times New Roman" w:hAnsi="Times New Roman" w:cs="Times New Roman"/>
                <w:sz w:val="18"/>
                <w:szCs w:val="18"/>
              </w:rPr>
              <w:t>2</w:t>
            </w:r>
            <w:r w:rsidR="00F11E86" w:rsidRPr="00D5538E">
              <w:rPr>
                <w:rFonts w:ascii="Times New Roman" w:eastAsia="Times New Roman" w:hAnsi="Times New Roman" w:cs="Times New Roman"/>
                <w:sz w:val="18"/>
                <w:szCs w:val="18"/>
              </w:rPr>
              <w:t>8</w:t>
            </w:r>
            <w:r w:rsidR="001B62EB" w:rsidRPr="00D5538E">
              <w:rPr>
                <w:rFonts w:ascii="Times New Roman" w:eastAsia="Times New Roman" w:hAnsi="Times New Roman" w:cs="Times New Roman"/>
                <w:sz w:val="18"/>
                <w:szCs w:val="18"/>
              </w:rPr>
              <w:t xml:space="preserve"> GHG</w:t>
            </w:r>
            <w:r w:rsidR="00A143A9" w:rsidRPr="00D5538E">
              <w:rPr>
                <w:rFonts w:ascii="Times New Roman" w:eastAsia="Times New Roman" w:hAnsi="Times New Roman" w:cs="Times New Roman"/>
                <w:sz w:val="18"/>
                <w:szCs w:val="18"/>
              </w:rPr>
              <w:t>s</w:t>
            </w:r>
            <w:r w:rsidR="001B62EB" w:rsidRPr="00D5538E">
              <w:rPr>
                <w:rFonts w:ascii="Times New Roman" w:eastAsia="Times New Roman" w:hAnsi="Times New Roman" w:cs="Times New Roman"/>
                <w:sz w:val="18"/>
                <w:szCs w:val="18"/>
              </w:rPr>
              <w:t>. For the WB indicator, we aggregate the</w:t>
            </w:r>
            <w:r w:rsidR="00EA47AE" w:rsidRPr="00D5538E">
              <w:rPr>
                <w:rFonts w:ascii="Times New Roman" w:eastAsia="Times New Roman" w:hAnsi="Times New Roman" w:cs="Times New Roman"/>
                <w:sz w:val="18"/>
                <w:szCs w:val="18"/>
              </w:rPr>
              <w:t>se</w:t>
            </w:r>
            <w:r w:rsidR="001B62EB" w:rsidRPr="00D5538E">
              <w:rPr>
                <w:rFonts w:ascii="Times New Roman" w:eastAsia="Times New Roman" w:hAnsi="Times New Roman" w:cs="Times New Roman"/>
                <w:sz w:val="18"/>
                <w:szCs w:val="18"/>
              </w:rPr>
              <w:t xml:space="preserve"> data to </w:t>
            </w:r>
            <w:r w:rsidR="00F35A67" w:rsidRPr="00410BCC">
              <w:rPr>
                <w:rFonts w:ascii="Times New Roman" w:eastAsia="Times New Roman" w:hAnsi="Times New Roman" w:cs="Times New Roman"/>
                <w:sz w:val="18"/>
                <w:szCs w:val="18"/>
              </w:rPr>
              <w:t>1</w:t>
            </w:r>
            <w:r w:rsidR="00F0537F" w:rsidRPr="00410BCC">
              <w:rPr>
                <w:rFonts w:ascii="Times New Roman" w:eastAsia="Times New Roman" w:hAnsi="Times New Roman" w:cs="Times New Roman"/>
                <w:sz w:val="18"/>
                <w:szCs w:val="18"/>
              </w:rPr>
              <w:t>9</w:t>
            </w:r>
            <w:r w:rsidR="00B53391" w:rsidRPr="00D5538E">
              <w:rPr>
                <w:rFonts w:ascii="Times New Roman" w:eastAsia="Times New Roman" w:hAnsi="Times New Roman" w:cs="Times New Roman"/>
                <w:sz w:val="18"/>
                <w:szCs w:val="18"/>
              </w:rPr>
              <w:t xml:space="preserve"> </w:t>
            </w:r>
            <w:r w:rsidR="00EA47AE" w:rsidRPr="00D5538E">
              <w:rPr>
                <w:rFonts w:ascii="Times New Roman" w:eastAsia="Times New Roman" w:hAnsi="Times New Roman" w:cs="Times New Roman"/>
                <w:sz w:val="18"/>
                <w:szCs w:val="18"/>
              </w:rPr>
              <w:t>sectors</w:t>
            </w:r>
            <w:r w:rsidR="00CC01E0">
              <w:rPr>
                <w:rFonts w:ascii="Times New Roman" w:eastAsia="Times New Roman" w:hAnsi="Times New Roman" w:cs="Times New Roman"/>
                <w:sz w:val="18"/>
                <w:szCs w:val="18"/>
              </w:rPr>
              <w:t xml:space="preserve"> </w:t>
            </w:r>
            <w:r w:rsidR="00980CAE" w:rsidRPr="00D5538E">
              <w:rPr>
                <w:rFonts w:ascii="Times New Roman" w:eastAsia="Times New Roman" w:hAnsi="Times New Roman" w:cs="Times New Roman"/>
                <w:sz w:val="18"/>
                <w:szCs w:val="18"/>
              </w:rPr>
              <w:t>—</w:t>
            </w:r>
            <w:r w:rsidR="00CC01E0">
              <w:rPr>
                <w:rFonts w:ascii="Times New Roman" w:eastAsia="Times New Roman" w:hAnsi="Times New Roman" w:cs="Times New Roman"/>
                <w:sz w:val="18"/>
                <w:szCs w:val="18"/>
              </w:rPr>
              <w:t xml:space="preserve"> </w:t>
            </w:r>
            <w:r w:rsidR="00980CAE" w:rsidRPr="00D5538E">
              <w:rPr>
                <w:rFonts w:ascii="Times New Roman" w:eastAsia="Times New Roman" w:hAnsi="Times New Roman" w:cs="Times New Roman"/>
                <w:sz w:val="18"/>
                <w:szCs w:val="18"/>
              </w:rPr>
              <w:t xml:space="preserve">the 13 </w:t>
            </w:r>
            <w:r w:rsidR="00EA47AE" w:rsidRPr="00D5538E">
              <w:rPr>
                <w:rFonts w:ascii="Times New Roman" w:eastAsia="Times New Roman" w:hAnsi="Times New Roman" w:cs="Times New Roman"/>
                <w:sz w:val="18"/>
                <w:szCs w:val="18"/>
              </w:rPr>
              <w:t>used for the global dataset</w:t>
            </w:r>
            <w:r w:rsidR="00980CAE" w:rsidRPr="00D5538E">
              <w:rPr>
                <w:rFonts w:ascii="Times New Roman" w:eastAsia="Times New Roman" w:hAnsi="Times New Roman" w:cs="Times New Roman"/>
                <w:sz w:val="18"/>
                <w:szCs w:val="18"/>
              </w:rPr>
              <w:t>, with agriculture</w:t>
            </w:r>
            <w:r w:rsidR="00625F50" w:rsidRPr="00D5538E">
              <w:rPr>
                <w:rFonts w:ascii="Times New Roman" w:eastAsia="Times New Roman" w:hAnsi="Times New Roman" w:cs="Times New Roman"/>
                <w:sz w:val="18"/>
                <w:szCs w:val="18"/>
              </w:rPr>
              <w:t xml:space="preserve"> </w:t>
            </w:r>
            <w:r w:rsidR="00980CAE" w:rsidRPr="00D5538E">
              <w:rPr>
                <w:rFonts w:ascii="Times New Roman" w:eastAsia="Times New Roman" w:hAnsi="Times New Roman" w:cs="Times New Roman"/>
                <w:sz w:val="18"/>
                <w:szCs w:val="18"/>
              </w:rPr>
              <w:t>disaggregated into livestock and crops</w:t>
            </w:r>
            <w:r w:rsidR="00463672">
              <w:rPr>
                <w:rFonts w:ascii="Times New Roman" w:eastAsia="Times New Roman" w:hAnsi="Times New Roman" w:cs="Times New Roman"/>
                <w:sz w:val="18"/>
                <w:szCs w:val="18"/>
              </w:rPr>
              <w:t xml:space="preserve">, </w:t>
            </w:r>
            <w:r w:rsidR="00A70D84" w:rsidRPr="00D5538E">
              <w:rPr>
                <w:rFonts w:ascii="Times New Roman" w:eastAsia="Times New Roman" w:hAnsi="Times New Roman" w:cs="Times New Roman"/>
                <w:sz w:val="18"/>
                <w:szCs w:val="18"/>
              </w:rPr>
              <w:t>waste</w:t>
            </w:r>
            <w:r w:rsidR="00412475" w:rsidRPr="00D5538E">
              <w:rPr>
                <w:rFonts w:ascii="Times New Roman" w:eastAsia="Times New Roman" w:hAnsi="Times New Roman" w:cs="Times New Roman"/>
                <w:sz w:val="18"/>
                <w:szCs w:val="18"/>
              </w:rPr>
              <w:t xml:space="preserve"> disaggregated into</w:t>
            </w:r>
            <w:r w:rsidR="00A4640F" w:rsidRPr="00D5538E">
              <w:rPr>
                <w:rFonts w:ascii="Times New Roman" w:eastAsia="Times New Roman" w:hAnsi="Times New Roman" w:cs="Times New Roman"/>
                <w:sz w:val="18"/>
                <w:szCs w:val="18"/>
              </w:rPr>
              <w:t xml:space="preserve"> solid waste and wastewater treatment</w:t>
            </w:r>
            <w:r w:rsidR="008E4E08">
              <w:rPr>
                <w:rFonts w:ascii="Times New Roman" w:eastAsia="Times New Roman" w:hAnsi="Times New Roman" w:cs="Times New Roman"/>
                <w:sz w:val="18"/>
                <w:szCs w:val="18"/>
              </w:rPr>
              <w:t xml:space="preserve">, </w:t>
            </w:r>
            <w:r w:rsidR="008E4E08" w:rsidRPr="00410BCC">
              <w:rPr>
                <w:rFonts w:ascii="Times New Roman" w:eastAsia="Times New Roman" w:hAnsi="Times New Roman" w:cs="Times New Roman"/>
                <w:sz w:val="18"/>
                <w:szCs w:val="18"/>
              </w:rPr>
              <w:t>fuel exploitation disaggregated into fuel exploitation and fugitive emissions</w:t>
            </w:r>
            <w:r w:rsidR="00852918" w:rsidRPr="00410BCC">
              <w:rPr>
                <w:rFonts w:ascii="Times New Roman" w:eastAsia="Times New Roman" w:hAnsi="Times New Roman" w:cs="Times New Roman"/>
                <w:sz w:val="18"/>
                <w:szCs w:val="18"/>
              </w:rPr>
              <w:t>, building disaggregated into building and other, IPPU disaggregated into mineral and metal industries, chemical and industrial product</w:t>
            </w:r>
            <w:r w:rsidR="00495006" w:rsidRPr="00410BCC">
              <w:rPr>
                <w:rFonts w:ascii="Times New Roman" w:eastAsia="Times New Roman" w:hAnsi="Times New Roman" w:cs="Times New Roman"/>
                <w:sz w:val="18"/>
                <w:szCs w:val="18"/>
              </w:rPr>
              <w:t>, and other</w:t>
            </w:r>
            <w:r w:rsidR="00980CAE" w:rsidRPr="00D5538E">
              <w:rPr>
                <w:rFonts w:ascii="Times New Roman" w:eastAsia="Times New Roman" w:hAnsi="Times New Roman" w:cs="Times New Roman"/>
                <w:sz w:val="18"/>
                <w:szCs w:val="18"/>
              </w:rPr>
              <w:t>—</w:t>
            </w:r>
            <w:r w:rsidR="007F1BA3" w:rsidRPr="00D5538E">
              <w:rPr>
                <w:rFonts w:ascii="Times New Roman" w:eastAsia="Times New Roman" w:hAnsi="Times New Roman" w:cs="Times New Roman"/>
                <w:sz w:val="18"/>
                <w:szCs w:val="18"/>
              </w:rPr>
              <w:t xml:space="preserve">and </w:t>
            </w:r>
            <w:r w:rsidR="00707820" w:rsidRPr="00D5538E">
              <w:rPr>
                <w:rFonts w:ascii="Times New Roman" w:eastAsia="Times New Roman" w:hAnsi="Times New Roman" w:cs="Times New Roman"/>
                <w:sz w:val="18"/>
                <w:szCs w:val="18"/>
              </w:rPr>
              <w:t>the six Kyoto Protocol</w:t>
            </w:r>
            <w:r w:rsidR="007F1BA3" w:rsidRPr="00D5538E">
              <w:rPr>
                <w:rFonts w:ascii="Times New Roman" w:eastAsia="Times New Roman" w:hAnsi="Times New Roman" w:cs="Times New Roman"/>
                <w:sz w:val="18"/>
                <w:szCs w:val="18"/>
              </w:rPr>
              <w:t xml:space="preserve"> GHGs</w:t>
            </w:r>
            <w:r w:rsidR="00707820" w:rsidRPr="00D5538E">
              <w:rPr>
                <w:rFonts w:ascii="Times New Roman" w:eastAsia="Times New Roman" w:hAnsi="Times New Roman" w:cs="Times New Roman"/>
                <w:sz w:val="18"/>
                <w:szCs w:val="18"/>
              </w:rPr>
              <w:t xml:space="preserve"> (</w:t>
            </w:r>
            <w:r w:rsidR="007F1BA3" w:rsidRPr="00D5538E">
              <w:rPr>
                <w:rFonts w:ascii="Times New Roman" w:eastAsia="Times New Roman" w:hAnsi="Times New Roman" w:cs="Times New Roman"/>
                <w:sz w:val="18"/>
                <w:szCs w:val="18"/>
              </w:rPr>
              <w:t xml:space="preserve">CO2, CH4, N2O, HFC, PFC, </w:t>
            </w:r>
            <w:r w:rsidR="00707820" w:rsidRPr="00D5538E">
              <w:rPr>
                <w:rFonts w:ascii="Times New Roman" w:eastAsia="Times New Roman" w:hAnsi="Times New Roman" w:cs="Times New Roman"/>
                <w:sz w:val="18"/>
                <w:szCs w:val="18"/>
              </w:rPr>
              <w:t>a</w:t>
            </w:r>
            <w:r w:rsidR="00BF55C9" w:rsidRPr="00D5538E">
              <w:rPr>
                <w:rFonts w:ascii="Times New Roman" w:eastAsia="Times New Roman" w:hAnsi="Times New Roman" w:cs="Times New Roman"/>
                <w:sz w:val="18"/>
                <w:szCs w:val="18"/>
              </w:rPr>
              <w:t>n</w:t>
            </w:r>
            <w:r w:rsidR="00707820" w:rsidRPr="00D5538E">
              <w:rPr>
                <w:rFonts w:ascii="Times New Roman" w:eastAsia="Times New Roman" w:hAnsi="Times New Roman" w:cs="Times New Roman"/>
                <w:sz w:val="18"/>
                <w:szCs w:val="18"/>
              </w:rPr>
              <w:t xml:space="preserve">d </w:t>
            </w:r>
            <w:r w:rsidR="007F1BA3" w:rsidRPr="00D5538E">
              <w:rPr>
                <w:rFonts w:ascii="Times New Roman" w:eastAsia="Times New Roman" w:hAnsi="Times New Roman" w:cs="Times New Roman"/>
                <w:sz w:val="18"/>
                <w:szCs w:val="18"/>
              </w:rPr>
              <w:t>SF6</w:t>
            </w:r>
            <w:r w:rsidR="00707820" w:rsidRPr="00D5538E">
              <w:rPr>
                <w:rFonts w:ascii="Times New Roman" w:eastAsia="Times New Roman" w:hAnsi="Times New Roman" w:cs="Times New Roman"/>
                <w:sz w:val="18"/>
                <w:szCs w:val="18"/>
              </w:rPr>
              <w:t xml:space="preserve">) plus </w:t>
            </w:r>
            <w:r w:rsidR="5C73B313" w:rsidRPr="00D5538E">
              <w:rPr>
                <w:rFonts w:ascii="Times New Roman" w:eastAsia="Times New Roman" w:hAnsi="Times New Roman" w:cs="Times New Roman"/>
                <w:sz w:val="18"/>
                <w:szCs w:val="18"/>
              </w:rPr>
              <w:t>HCFC</w:t>
            </w:r>
            <w:r w:rsidR="00707820" w:rsidRPr="00D5538E">
              <w:rPr>
                <w:rFonts w:ascii="Times New Roman" w:eastAsia="Times New Roman" w:hAnsi="Times New Roman" w:cs="Times New Roman"/>
                <w:sz w:val="18"/>
                <w:szCs w:val="18"/>
              </w:rPr>
              <w:t>, and NF3.</w:t>
            </w:r>
            <w:r w:rsidR="004B74EB" w:rsidRPr="00D5538E">
              <w:rPr>
                <w:rFonts w:ascii="Times New Roman" w:eastAsia="Times New Roman" w:hAnsi="Times New Roman" w:cs="Times New Roman"/>
                <w:sz w:val="18"/>
                <w:szCs w:val="18"/>
              </w:rPr>
              <w:t xml:space="preserve"> </w:t>
            </w:r>
            <w:r w:rsidR="001B62EB" w:rsidRPr="00D5538E">
              <w:rPr>
                <w:rFonts w:ascii="Times New Roman" w:eastAsia="Times New Roman" w:hAnsi="Times New Roman" w:cs="Times New Roman"/>
                <w:sz w:val="18"/>
                <w:szCs w:val="18"/>
              </w:rPr>
              <w:t xml:space="preserve">The table below shows the EDGAR and </w:t>
            </w:r>
            <w:r w:rsidR="00495006" w:rsidRPr="00410BCC">
              <w:rPr>
                <w:rFonts w:ascii="Times New Roman" w:eastAsia="Times New Roman" w:hAnsi="Times New Roman" w:cs="Times New Roman"/>
                <w:sz w:val="18"/>
                <w:szCs w:val="18"/>
              </w:rPr>
              <w:t>EU Forest Observatory</w:t>
            </w:r>
            <w:r w:rsidR="00495006" w:rsidRPr="00D5538E">
              <w:rPr>
                <w:rFonts w:ascii="Times New Roman" w:eastAsia="Times New Roman" w:hAnsi="Times New Roman" w:cs="Times New Roman"/>
                <w:sz w:val="18"/>
                <w:szCs w:val="18"/>
              </w:rPr>
              <w:t xml:space="preserve"> </w:t>
            </w:r>
            <w:r w:rsidR="001B62EB" w:rsidRPr="00D5538E">
              <w:rPr>
                <w:rFonts w:ascii="Times New Roman" w:eastAsia="Times New Roman" w:hAnsi="Times New Roman" w:cs="Times New Roman"/>
                <w:sz w:val="18"/>
                <w:szCs w:val="18"/>
              </w:rPr>
              <w:t>sectors and mapping to the sectors used for the WB indicator.</w:t>
            </w:r>
          </w:p>
          <w:p w14:paraId="2AAE03A0" w14:textId="77777777" w:rsidR="009B4FE7" w:rsidRDefault="009B4FE7" w:rsidP="001B62EB">
            <w:pPr>
              <w:spacing w:after="0" w:line="240" w:lineRule="auto"/>
              <w:ind w:right="75"/>
              <w:textAlignment w:val="baseline"/>
              <w:rPr>
                <w:rFonts w:ascii="Times New Roman" w:eastAsia="Times New Roman" w:hAnsi="Times New Roman" w:cs="Times New Roman"/>
                <w:sz w:val="20"/>
                <w:szCs w:val="20"/>
              </w:rPr>
            </w:pPr>
          </w:p>
          <w:p w14:paraId="77BEEC56" w14:textId="569607A7" w:rsidR="00077088" w:rsidRPr="00D701AE" w:rsidRDefault="00077088" w:rsidP="001B62EB">
            <w:pPr>
              <w:spacing w:after="0" w:line="240" w:lineRule="auto"/>
              <w:ind w:right="75"/>
              <w:textAlignment w:val="baseline"/>
              <w:rPr>
                <w:rFonts w:ascii="Times New Roman" w:eastAsia="Times New Roman" w:hAnsi="Times New Roman" w:cs="Times New Roman"/>
                <w:b/>
                <w:sz w:val="20"/>
                <w:szCs w:val="20"/>
              </w:rPr>
            </w:pPr>
            <w:r w:rsidRPr="00D701AE">
              <w:rPr>
                <w:rFonts w:ascii="Times New Roman" w:eastAsia="Times New Roman" w:hAnsi="Times New Roman" w:cs="Times New Roman"/>
                <w:b/>
                <w:sz w:val="20"/>
                <w:szCs w:val="20"/>
              </w:rPr>
              <w:t>Country-level Emissions Disaggregation</w:t>
            </w:r>
          </w:p>
          <w:tbl>
            <w:tblPr>
              <w:tblStyle w:val="TableGrid"/>
              <w:tblW w:w="8535" w:type="dxa"/>
              <w:tblLayout w:type="fixed"/>
              <w:tblLook w:val="04A0" w:firstRow="1" w:lastRow="0" w:firstColumn="1" w:lastColumn="0" w:noHBand="0" w:noVBand="1"/>
            </w:tblPr>
            <w:tblGrid>
              <w:gridCol w:w="1159"/>
              <w:gridCol w:w="1980"/>
              <w:gridCol w:w="2267"/>
              <w:gridCol w:w="1043"/>
              <w:gridCol w:w="2086"/>
            </w:tblGrid>
            <w:tr w:rsidR="00D92EDD" w:rsidRPr="00AE235C" w14:paraId="42B19ED7" w14:textId="77777777" w:rsidTr="00D701AE">
              <w:trPr>
                <w:trHeight w:val="290"/>
              </w:trPr>
              <w:tc>
                <w:tcPr>
                  <w:tcW w:w="1159" w:type="dxa"/>
                  <w:noWrap/>
                  <w:hideMark/>
                </w:tcPr>
                <w:p w14:paraId="35A0FFE0" w14:textId="77777777" w:rsidR="00D92EDD" w:rsidRPr="00AE235C" w:rsidRDefault="00D92EDD" w:rsidP="00D92EDD">
                  <w:pPr>
                    <w:rPr>
                      <w:rFonts w:ascii="Times New Roman" w:eastAsia="Times New Roman" w:hAnsi="Times New Roman" w:cs="Times New Roman"/>
                      <w:b/>
                      <w:color w:val="000000"/>
                      <w:sz w:val="18"/>
                      <w:szCs w:val="18"/>
                      <w:lang w:eastAsia="zh-CN"/>
                    </w:rPr>
                  </w:pPr>
                  <w:r w:rsidRPr="00AE235C">
                    <w:rPr>
                      <w:rFonts w:ascii="Times New Roman" w:eastAsia="Times New Roman" w:hAnsi="Times New Roman" w:cs="Times New Roman"/>
                      <w:b/>
                      <w:color w:val="000000" w:themeColor="text1"/>
                      <w:sz w:val="18"/>
                      <w:szCs w:val="18"/>
                      <w:lang w:eastAsia="zh-CN"/>
                    </w:rPr>
                    <w:t>IPCC Code (2006)</w:t>
                  </w:r>
                </w:p>
              </w:tc>
              <w:tc>
                <w:tcPr>
                  <w:tcW w:w="1980" w:type="dxa"/>
                </w:tcPr>
                <w:p w14:paraId="43F53FE9" w14:textId="407563A0" w:rsidR="56F7FEC7" w:rsidRPr="00AE235C" w:rsidRDefault="56F7FEC7" w:rsidP="7F707081">
                  <w:pPr>
                    <w:rPr>
                      <w:rFonts w:ascii="Times New Roman" w:eastAsia="Times New Roman" w:hAnsi="Times New Roman" w:cs="Times New Roman"/>
                      <w:b/>
                      <w:bCs/>
                      <w:color w:val="000000" w:themeColor="text1"/>
                      <w:sz w:val="18"/>
                      <w:szCs w:val="18"/>
                      <w:lang w:eastAsia="zh-CN"/>
                    </w:rPr>
                  </w:pPr>
                  <w:r w:rsidRPr="00AE235C">
                    <w:rPr>
                      <w:rFonts w:ascii="Times New Roman" w:eastAsia="Times New Roman" w:hAnsi="Times New Roman" w:cs="Times New Roman"/>
                      <w:b/>
                      <w:bCs/>
                      <w:color w:val="000000" w:themeColor="text1"/>
                      <w:sz w:val="18"/>
                      <w:szCs w:val="18"/>
                      <w:lang w:eastAsia="zh-CN"/>
                    </w:rPr>
                    <w:t>EDGAR</w:t>
                  </w:r>
                  <w:r w:rsidR="009C10A7" w:rsidRPr="00AE235C">
                    <w:rPr>
                      <w:rFonts w:ascii="Times New Roman" w:eastAsia="Times New Roman" w:hAnsi="Times New Roman" w:cs="Times New Roman"/>
                      <w:b/>
                      <w:bCs/>
                      <w:color w:val="000000" w:themeColor="text1"/>
                      <w:sz w:val="18"/>
                      <w:szCs w:val="18"/>
                      <w:lang w:eastAsia="zh-CN"/>
                    </w:rPr>
                    <w:t>/Grassi</w:t>
                  </w:r>
                  <w:r w:rsidRPr="00AE235C">
                    <w:rPr>
                      <w:rFonts w:ascii="Times New Roman" w:eastAsia="Times New Roman" w:hAnsi="Times New Roman" w:cs="Times New Roman"/>
                      <w:b/>
                      <w:bCs/>
                      <w:color w:val="000000" w:themeColor="text1"/>
                      <w:sz w:val="18"/>
                      <w:szCs w:val="18"/>
                      <w:lang w:eastAsia="zh-CN"/>
                    </w:rPr>
                    <w:t xml:space="preserve"> Sector</w:t>
                  </w:r>
                </w:p>
              </w:tc>
              <w:tc>
                <w:tcPr>
                  <w:tcW w:w="2267" w:type="dxa"/>
                  <w:noWrap/>
                  <w:hideMark/>
                </w:tcPr>
                <w:p w14:paraId="7C850405" w14:textId="74691121" w:rsidR="00D92EDD" w:rsidRPr="00AE235C" w:rsidRDefault="00D92EDD" w:rsidP="00D92EDD">
                  <w:pPr>
                    <w:rPr>
                      <w:rFonts w:ascii="Times New Roman" w:eastAsia="Times New Roman" w:hAnsi="Times New Roman" w:cs="Times New Roman"/>
                      <w:b/>
                      <w:color w:val="000000"/>
                      <w:sz w:val="18"/>
                      <w:szCs w:val="18"/>
                      <w:lang w:eastAsia="zh-CN"/>
                    </w:rPr>
                  </w:pPr>
                  <w:r w:rsidRPr="00AE235C">
                    <w:rPr>
                      <w:rFonts w:ascii="Times New Roman" w:eastAsia="Times New Roman" w:hAnsi="Times New Roman" w:cs="Times New Roman"/>
                      <w:b/>
                      <w:bCs/>
                      <w:color w:val="000000" w:themeColor="text1"/>
                      <w:sz w:val="18"/>
                      <w:szCs w:val="18"/>
                      <w:lang w:eastAsia="zh-CN"/>
                    </w:rPr>
                    <w:t>EDGAR</w:t>
                  </w:r>
                  <w:r w:rsidR="009C10A7" w:rsidRPr="00AE235C">
                    <w:rPr>
                      <w:rFonts w:ascii="Times New Roman" w:eastAsia="Times New Roman" w:hAnsi="Times New Roman" w:cs="Times New Roman"/>
                      <w:b/>
                      <w:bCs/>
                      <w:color w:val="000000" w:themeColor="text1"/>
                      <w:sz w:val="18"/>
                      <w:szCs w:val="18"/>
                      <w:lang w:eastAsia="zh-CN"/>
                    </w:rPr>
                    <w:t>/Grassi</w:t>
                  </w:r>
                  <w:r w:rsidRPr="00AE235C">
                    <w:rPr>
                      <w:rFonts w:ascii="Times New Roman" w:eastAsia="Times New Roman" w:hAnsi="Times New Roman" w:cs="Times New Roman"/>
                      <w:b/>
                      <w:bCs/>
                      <w:color w:val="000000" w:themeColor="text1"/>
                      <w:sz w:val="18"/>
                      <w:szCs w:val="18"/>
                      <w:lang w:eastAsia="zh-CN"/>
                    </w:rPr>
                    <w:t xml:space="preserve"> </w:t>
                  </w:r>
                  <w:r w:rsidR="105BF7DD" w:rsidRPr="00AE235C">
                    <w:rPr>
                      <w:rFonts w:ascii="Times New Roman" w:eastAsia="Times New Roman" w:hAnsi="Times New Roman" w:cs="Times New Roman"/>
                      <w:b/>
                      <w:bCs/>
                      <w:color w:val="000000" w:themeColor="text1"/>
                      <w:sz w:val="18"/>
                      <w:szCs w:val="18"/>
                      <w:lang w:eastAsia="zh-CN"/>
                    </w:rPr>
                    <w:t>Sub</w:t>
                  </w:r>
                  <w:r w:rsidR="2173E7AE" w:rsidRPr="00AE235C">
                    <w:rPr>
                      <w:rFonts w:ascii="Times New Roman" w:eastAsia="Times New Roman" w:hAnsi="Times New Roman" w:cs="Times New Roman"/>
                      <w:b/>
                      <w:bCs/>
                      <w:color w:val="000000" w:themeColor="text1"/>
                      <w:sz w:val="18"/>
                      <w:szCs w:val="18"/>
                      <w:lang w:eastAsia="zh-CN"/>
                    </w:rPr>
                    <w:t>s</w:t>
                  </w:r>
                  <w:r w:rsidRPr="00AE235C">
                    <w:rPr>
                      <w:rFonts w:ascii="Times New Roman" w:eastAsia="Times New Roman" w:hAnsi="Times New Roman" w:cs="Times New Roman"/>
                      <w:b/>
                      <w:bCs/>
                      <w:color w:val="000000" w:themeColor="text1"/>
                      <w:sz w:val="18"/>
                      <w:szCs w:val="18"/>
                      <w:lang w:eastAsia="zh-CN"/>
                    </w:rPr>
                    <w:t>ector</w:t>
                  </w:r>
                </w:p>
              </w:tc>
              <w:tc>
                <w:tcPr>
                  <w:tcW w:w="1043" w:type="dxa"/>
                  <w:noWrap/>
                  <w:hideMark/>
                </w:tcPr>
                <w:p w14:paraId="15F8373E" w14:textId="035181DE" w:rsidR="00D92EDD" w:rsidRPr="00AE235C" w:rsidRDefault="00D92EDD" w:rsidP="00D92EDD">
                  <w:pPr>
                    <w:rPr>
                      <w:rFonts w:ascii="Times New Roman" w:eastAsia="Times New Roman" w:hAnsi="Times New Roman" w:cs="Times New Roman"/>
                      <w:b/>
                      <w:color w:val="000000"/>
                      <w:sz w:val="18"/>
                      <w:szCs w:val="18"/>
                      <w:lang w:eastAsia="zh-CN"/>
                    </w:rPr>
                  </w:pPr>
                  <w:r w:rsidRPr="00AE235C">
                    <w:rPr>
                      <w:rFonts w:ascii="Times New Roman" w:eastAsia="Times New Roman" w:hAnsi="Times New Roman" w:cs="Times New Roman"/>
                      <w:b/>
                      <w:color w:val="000000"/>
                      <w:sz w:val="18"/>
                      <w:szCs w:val="18"/>
                      <w:lang w:eastAsia="zh-CN"/>
                    </w:rPr>
                    <w:t>Indicator Sector</w:t>
                  </w:r>
                </w:p>
              </w:tc>
              <w:tc>
                <w:tcPr>
                  <w:tcW w:w="2086" w:type="dxa"/>
                  <w:noWrap/>
                  <w:hideMark/>
                </w:tcPr>
                <w:p w14:paraId="6E6C1013" w14:textId="199202C5" w:rsidR="00D92EDD" w:rsidRPr="00AE235C" w:rsidRDefault="00D92EDD" w:rsidP="00D92EDD">
                  <w:pPr>
                    <w:rPr>
                      <w:rFonts w:ascii="Times New Roman" w:eastAsia="Times New Roman" w:hAnsi="Times New Roman" w:cs="Times New Roman"/>
                      <w:b/>
                      <w:color w:val="000000"/>
                      <w:sz w:val="18"/>
                      <w:szCs w:val="18"/>
                      <w:lang w:eastAsia="zh-CN"/>
                    </w:rPr>
                  </w:pPr>
                  <w:r w:rsidRPr="00AE235C">
                    <w:rPr>
                      <w:rFonts w:ascii="Times New Roman" w:eastAsia="Times New Roman" w:hAnsi="Times New Roman" w:cs="Times New Roman"/>
                      <w:b/>
                      <w:color w:val="000000"/>
                      <w:sz w:val="18"/>
                      <w:szCs w:val="18"/>
                      <w:lang w:eastAsia="zh-CN"/>
                    </w:rPr>
                    <w:t>Indicator Subsector</w:t>
                  </w:r>
                </w:p>
              </w:tc>
            </w:tr>
            <w:tr w:rsidR="00D92EDD" w:rsidRPr="00AE235C" w14:paraId="1A4B2C8A" w14:textId="77777777" w:rsidTr="00D701AE">
              <w:trPr>
                <w:trHeight w:val="290"/>
              </w:trPr>
              <w:tc>
                <w:tcPr>
                  <w:tcW w:w="1159" w:type="dxa"/>
                  <w:noWrap/>
                  <w:hideMark/>
                </w:tcPr>
                <w:p w14:paraId="3327745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1.A.1.a</w:t>
                  </w:r>
                </w:p>
              </w:tc>
              <w:tc>
                <w:tcPr>
                  <w:tcW w:w="1980" w:type="dxa"/>
                </w:tcPr>
                <w:p w14:paraId="033E7289" w14:textId="76D0768A" w:rsidR="3A457A86" w:rsidRPr="00AE235C" w:rsidRDefault="3A457A86"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Power Industry</w:t>
                  </w:r>
                </w:p>
              </w:tc>
              <w:tc>
                <w:tcPr>
                  <w:tcW w:w="2267" w:type="dxa"/>
                  <w:noWrap/>
                  <w:hideMark/>
                </w:tcPr>
                <w:p w14:paraId="0BA756CC"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Main Activity Electricity and Heat Production</w:t>
                  </w:r>
                </w:p>
              </w:tc>
              <w:tc>
                <w:tcPr>
                  <w:tcW w:w="1043" w:type="dxa"/>
                  <w:vMerge w:val="restart"/>
                  <w:noWrap/>
                  <w:hideMark/>
                </w:tcPr>
                <w:p w14:paraId="2DB9892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Energy</w:t>
                  </w:r>
                </w:p>
                <w:p w14:paraId="41CE9998"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2DE7378F" w14:textId="3A03918E"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FA22E30"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w:t>
                  </w:r>
                  <w:r w:rsidR="00002563">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w:t>
                  </w:r>
                  <w:r w:rsidR="00002563">
                    <w:rPr>
                      <w:rFonts w:ascii="Times New Roman" w:eastAsia="Times New Roman" w:hAnsi="Times New Roman" w:cs="Times New Roman"/>
                      <w:color w:val="000000" w:themeColor="text1"/>
                      <w:sz w:val="18"/>
                      <w:szCs w:val="18"/>
                      <w:lang w:eastAsia="zh-CN"/>
                    </w:rPr>
                    <w:t>Power Industry</w:t>
                  </w:r>
                </w:p>
              </w:tc>
            </w:tr>
            <w:tr w:rsidR="00D92EDD" w:rsidRPr="00AE235C" w14:paraId="2ABD82CD" w14:textId="77777777" w:rsidTr="00D701AE">
              <w:trPr>
                <w:trHeight w:val="290"/>
              </w:trPr>
              <w:tc>
                <w:tcPr>
                  <w:tcW w:w="1159" w:type="dxa"/>
                  <w:noWrap/>
                  <w:hideMark/>
                </w:tcPr>
                <w:p w14:paraId="50F85777"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1.A.1.bc</w:t>
                  </w:r>
                </w:p>
              </w:tc>
              <w:tc>
                <w:tcPr>
                  <w:tcW w:w="1980" w:type="dxa"/>
                  <w:shd w:val="clear" w:color="auto" w:fill="auto"/>
                </w:tcPr>
                <w:p w14:paraId="3721260C" w14:textId="4DAF73A9" w:rsidR="78043881" w:rsidRPr="00AE235C" w:rsidRDefault="78043881"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Fuel Exploitation</w:t>
                  </w:r>
                </w:p>
              </w:tc>
              <w:tc>
                <w:tcPr>
                  <w:tcW w:w="2267" w:type="dxa"/>
                  <w:shd w:val="clear" w:color="auto" w:fill="auto"/>
                  <w:noWrap/>
                  <w:hideMark/>
                </w:tcPr>
                <w:p w14:paraId="624045F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Petroleum Refining - Manufacture of Solid Fuels and Other Energy Industries</w:t>
                  </w:r>
                </w:p>
              </w:tc>
              <w:tc>
                <w:tcPr>
                  <w:tcW w:w="1043" w:type="dxa"/>
                  <w:vMerge/>
                  <w:noWrap/>
                  <w:hideMark/>
                </w:tcPr>
                <w:p w14:paraId="56C84D53"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D4B3F05" w14:textId="3A6FA73D"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759645EC"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w:t>
                  </w:r>
                  <w:r w:rsidR="00AC7780">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w:t>
                  </w:r>
                  <w:r w:rsidR="00AC7780">
                    <w:rPr>
                      <w:rFonts w:ascii="Times New Roman" w:eastAsia="Times New Roman" w:hAnsi="Times New Roman" w:cs="Times New Roman"/>
                      <w:color w:val="000000" w:themeColor="text1"/>
                      <w:sz w:val="18"/>
                      <w:szCs w:val="18"/>
                      <w:lang w:eastAsia="zh-CN"/>
                    </w:rPr>
                    <w:t>Fuel Exploitation</w:t>
                  </w:r>
                </w:p>
              </w:tc>
            </w:tr>
            <w:tr w:rsidR="00D92EDD" w:rsidRPr="00AE235C" w14:paraId="29452ADE" w14:textId="77777777" w:rsidTr="00D701AE">
              <w:trPr>
                <w:trHeight w:val="290"/>
              </w:trPr>
              <w:tc>
                <w:tcPr>
                  <w:tcW w:w="1159" w:type="dxa"/>
                  <w:noWrap/>
                  <w:hideMark/>
                </w:tcPr>
                <w:p w14:paraId="434FC01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1.A.2</w:t>
                  </w:r>
                </w:p>
              </w:tc>
              <w:tc>
                <w:tcPr>
                  <w:tcW w:w="1980" w:type="dxa"/>
                </w:tcPr>
                <w:p w14:paraId="487DD8FD" w14:textId="58B953F2" w:rsidR="79D9586C" w:rsidRPr="00AE235C" w:rsidRDefault="79D9586C"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Industrial Combustion</w:t>
                  </w:r>
                </w:p>
              </w:tc>
              <w:tc>
                <w:tcPr>
                  <w:tcW w:w="2267" w:type="dxa"/>
                  <w:noWrap/>
                  <w:hideMark/>
                </w:tcPr>
                <w:p w14:paraId="65895FD0"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Manufacturing Industries and Construction</w:t>
                  </w:r>
                </w:p>
              </w:tc>
              <w:tc>
                <w:tcPr>
                  <w:tcW w:w="1043" w:type="dxa"/>
                  <w:vMerge/>
                  <w:noWrap/>
                  <w:hideMark/>
                </w:tcPr>
                <w:p w14:paraId="622D9B82"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0AB3A81E" w14:textId="66A8232D"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0C1535E"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w:t>
                  </w:r>
                  <w:r w:rsidR="00AC7780">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w:t>
                  </w:r>
                  <w:r w:rsidR="00AC7780">
                    <w:rPr>
                      <w:rFonts w:ascii="Times New Roman" w:eastAsia="Times New Roman" w:hAnsi="Times New Roman" w:cs="Times New Roman"/>
                      <w:color w:val="000000" w:themeColor="text1"/>
                      <w:sz w:val="18"/>
                      <w:szCs w:val="18"/>
                      <w:lang w:eastAsia="zh-CN"/>
                    </w:rPr>
                    <w:t>Industrial Combustion</w:t>
                  </w:r>
                </w:p>
              </w:tc>
            </w:tr>
            <w:tr w:rsidR="00D92EDD" w:rsidRPr="00AE235C" w14:paraId="6BE1663E" w14:textId="77777777" w:rsidTr="00D701AE">
              <w:trPr>
                <w:trHeight w:val="290"/>
              </w:trPr>
              <w:tc>
                <w:tcPr>
                  <w:tcW w:w="1159" w:type="dxa"/>
                  <w:noWrap/>
                  <w:hideMark/>
                </w:tcPr>
                <w:p w14:paraId="5D8A4151"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1.A.3.a</w:t>
                  </w:r>
                </w:p>
              </w:tc>
              <w:tc>
                <w:tcPr>
                  <w:tcW w:w="1980" w:type="dxa"/>
                  <w:vMerge w:val="restart"/>
                </w:tcPr>
                <w:p w14:paraId="6B87DAA8" w14:textId="35963B67" w:rsidR="5C0F0CE6" w:rsidRPr="00AE235C" w:rsidRDefault="5C0F0CE6"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Transport</w:t>
                  </w:r>
                </w:p>
              </w:tc>
              <w:tc>
                <w:tcPr>
                  <w:tcW w:w="2267" w:type="dxa"/>
                  <w:noWrap/>
                  <w:hideMark/>
                </w:tcPr>
                <w:p w14:paraId="1BF8A2E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Civil Aviation</w:t>
                  </w:r>
                </w:p>
              </w:tc>
              <w:tc>
                <w:tcPr>
                  <w:tcW w:w="1043" w:type="dxa"/>
                  <w:vMerge/>
                  <w:noWrap/>
                  <w:hideMark/>
                </w:tcPr>
                <w:p w14:paraId="2C8D8581"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4C4771B1" w14:textId="10F66B76"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A14D0F2"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Transportation</w:t>
                  </w:r>
                </w:p>
              </w:tc>
            </w:tr>
            <w:tr w:rsidR="00D92EDD" w:rsidRPr="00AE235C" w14:paraId="1D8AC417" w14:textId="77777777" w:rsidTr="00D701AE">
              <w:trPr>
                <w:trHeight w:val="290"/>
              </w:trPr>
              <w:tc>
                <w:tcPr>
                  <w:tcW w:w="1159" w:type="dxa"/>
                  <w:noWrap/>
                  <w:hideMark/>
                </w:tcPr>
                <w:p w14:paraId="411C5BA6" w14:textId="135A592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1.A.3.b_</w:t>
                  </w:r>
                  <w:r w:rsidR="00346620" w:rsidRPr="00AE235C">
                    <w:rPr>
                      <w:rFonts w:ascii="Times New Roman" w:eastAsia="Times New Roman" w:hAnsi="Times New Roman" w:cs="Times New Roman"/>
                      <w:color w:val="000000"/>
                      <w:sz w:val="18"/>
                      <w:szCs w:val="18"/>
                      <w:lang w:eastAsia="zh-CN"/>
                    </w:rPr>
                    <w:t xml:space="preserve"> </w:t>
                  </w:r>
                  <w:proofErr w:type="spellStart"/>
                  <w:r w:rsidRPr="00AE235C">
                    <w:rPr>
                      <w:rFonts w:ascii="Times New Roman" w:eastAsia="Times New Roman" w:hAnsi="Times New Roman" w:cs="Times New Roman"/>
                      <w:color w:val="000000"/>
                      <w:sz w:val="18"/>
                      <w:szCs w:val="18"/>
                      <w:lang w:eastAsia="zh-CN"/>
                    </w:rPr>
                    <w:t>noRES</w:t>
                  </w:r>
                  <w:proofErr w:type="spellEnd"/>
                </w:p>
              </w:tc>
              <w:tc>
                <w:tcPr>
                  <w:tcW w:w="1980" w:type="dxa"/>
                  <w:vMerge/>
                </w:tcPr>
                <w:p w14:paraId="7BB224AC" w14:textId="77777777" w:rsidR="00491569" w:rsidRPr="00AE235C" w:rsidRDefault="00491569">
                  <w:pPr>
                    <w:rPr>
                      <w:rFonts w:ascii="Times New Roman" w:hAnsi="Times New Roman" w:cs="Times New Roman"/>
                      <w:sz w:val="18"/>
                      <w:szCs w:val="18"/>
                    </w:rPr>
                  </w:pPr>
                </w:p>
              </w:tc>
              <w:tc>
                <w:tcPr>
                  <w:tcW w:w="2267" w:type="dxa"/>
                  <w:noWrap/>
                  <w:hideMark/>
                </w:tcPr>
                <w:p w14:paraId="77F4C458"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Road Transportation no resuspension</w:t>
                  </w:r>
                </w:p>
              </w:tc>
              <w:tc>
                <w:tcPr>
                  <w:tcW w:w="1043" w:type="dxa"/>
                  <w:vMerge/>
                  <w:noWrap/>
                  <w:hideMark/>
                </w:tcPr>
                <w:p w14:paraId="041D6A65"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77875312" w14:textId="588548D6"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69B7BBC2"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Transportation</w:t>
                  </w:r>
                </w:p>
              </w:tc>
            </w:tr>
            <w:tr w:rsidR="00D92EDD" w:rsidRPr="00AE235C" w14:paraId="1A500C77" w14:textId="77777777" w:rsidTr="00D701AE">
              <w:trPr>
                <w:trHeight w:val="290"/>
              </w:trPr>
              <w:tc>
                <w:tcPr>
                  <w:tcW w:w="1159" w:type="dxa"/>
                  <w:noWrap/>
                  <w:hideMark/>
                </w:tcPr>
                <w:p w14:paraId="6F916538"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1.A.3.c</w:t>
                  </w:r>
                </w:p>
              </w:tc>
              <w:tc>
                <w:tcPr>
                  <w:tcW w:w="1980" w:type="dxa"/>
                  <w:vMerge/>
                </w:tcPr>
                <w:p w14:paraId="0A81714E" w14:textId="77777777" w:rsidR="00491569" w:rsidRPr="00AE235C" w:rsidRDefault="00491569">
                  <w:pPr>
                    <w:rPr>
                      <w:rFonts w:ascii="Times New Roman" w:hAnsi="Times New Roman" w:cs="Times New Roman"/>
                      <w:sz w:val="18"/>
                      <w:szCs w:val="18"/>
                    </w:rPr>
                  </w:pPr>
                </w:p>
              </w:tc>
              <w:tc>
                <w:tcPr>
                  <w:tcW w:w="2267" w:type="dxa"/>
                  <w:noWrap/>
                  <w:hideMark/>
                </w:tcPr>
                <w:p w14:paraId="37E4FE65"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Railways</w:t>
                  </w:r>
                </w:p>
              </w:tc>
              <w:tc>
                <w:tcPr>
                  <w:tcW w:w="1043" w:type="dxa"/>
                  <w:vMerge/>
                  <w:noWrap/>
                  <w:hideMark/>
                </w:tcPr>
                <w:p w14:paraId="670035A4"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0E16C353" w14:textId="0C4811B6"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364F7B3"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Transportation</w:t>
                  </w:r>
                </w:p>
              </w:tc>
            </w:tr>
            <w:tr w:rsidR="00D92EDD" w:rsidRPr="00AE235C" w14:paraId="7EF56BC9" w14:textId="77777777" w:rsidTr="00D701AE">
              <w:trPr>
                <w:trHeight w:val="290"/>
              </w:trPr>
              <w:tc>
                <w:tcPr>
                  <w:tcW w:w="1159" w:type="dxa"/>
                  <w:noWrap/>
                  <w:hideMark/>
                </w:tcPr>
                <w:p w14:paraId="0BFAE56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1.A.3.d</w:t>
                  </w:r>
                </w:p>
              </w:tc>
              <w:tc>
                <w:tcPr>
                  <w:tcW w:w="1980" w:type="dxa"/>
                  <w:vMerge/>
                </w:tcPr>
                <w:p w14:paraId="427B3BED" w14:textId="77777777" w:rsidR="00491569" w:rsidRPr="00AE235C" w:rsidRDefault="00491569">
                  <w:pPr>
                    <w:rPr>
                      <w:rFonts w:ascii="Times New Roman" w:hAnsi="Times New Roman" w:cs="Times New Roman"/>
                      <w:sz w:val="18"/>
                      <w:szCs w:val="18"/>
                    </w:rPr>
                  </w:pPr>
                </w:p>
              </w:tc>
              <w:tc>
                <w:tcPr>
                  <w:tcW w:w="2267" w:type="dxa"/>
                  <w:noWrap/>
                  <w:hideMark/>
                </w:tcPr>
                <w:p w14:paraId="333EA443"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Water-borne Navigation</w:t>
                  </w:r>
                </w:p>
              </w:tc>
              <w:tc>
                <w:tcPr>
                  <w:tcW w:w="1043" w:type="dxa"/>
                  <w:vMerge/>
                  <w:noWrap/>
                  <w:hideMark/>
                </w:tcPr>
                <w:p w14:paraId="05307902"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2F9EECF6" w14:textId="43DC3009"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B363D86"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Transportation</w:t>
                  </w:r>
                </w:p>
              </w:tc>
            </w:tr>
            <w:tr w:rsidR="00D92EDD" w:rsidRPr="00AE235C" w14:paraId="6DF8F989" w14:textId="77777777" w:rsidTr="00D701AE">
              <w:trPr>
                <w:trHeight w:val="290"/>
              </w:trPr>
              <w:tc>
                <w:tcPr>
                  <w:tcW w:w="1159" w:type="dxa"/>
                  <w:noWrap/>
                  <w:hideMark/>
                </w:tcPr>
                <w:p w14:paraId="2834F6B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1.A.3.e</w:t>
                  </w:r>
                </w:p>
              </w:tc>
              <w:tc>
                <w:tcPr>
                  <w:tcW w:w="1980" w:type="dxa"/>
                  <w:vMerge/>
                </w:tcPr>
                <w:p w14:paraId="326E6F74" w14:textId="77777777" w:rsidR="00491569" w:rsidRPr="00AE235C" w:rsidRDefault="00491569">
                  <w:pPr>
                    <w:rPr>
                      <w:rFonts w:ascii="Times New Roman" w:hAnsi="Times New Roman" w:cs="Times New Roman"/>
                      <w:sz w:val="18"/>
                      <w:szCs w:val="18"/>
                    </w:rPr>
                  </w:pPr>
                </w:p>
              </w:tc>
              <w:tc>
                <w:tcPr>
                  <w:tcW w:w="2267" w:type="dxa"/>
                  <w:noWrap/>
                  <w:hideMark/>
                </w:tcPr>
                <w:p w14:paraId="12EA2F64"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Other Transportation</w:t>
                  </w:r>
                </w:p>
              </w:tc>
              <w:tc>
                <w:tcPr>
                  <w:tcW w:w="1043" w:type="dxa"/>
                  <w:vMerge/>
                  <w:noWrap/>
                  <w:hideMark/>
                </w:tcPr>
                <w:p w14:paraId="3D28BF6F"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F44D053" w14:textId="712B969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730A29E9"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Transportation</w:t>
                  </w:r>
                </w:p>
              </w:tc>
            </w:tr>
            <w:tr w:rsidR="00D92EDD" w:rsidRPr="00AE235C" w14:paraId="28F0A4F8" w14:textId="77777777" w:rsidTr="00D701AE">
              <w:trPr>
                <w:trHeight w:val="290"/>
              </w:trPr>
              <w:tc>
                <w:tcPr>
                  <w:tcW w:w="1159" w:type="dxa"/>
                  <w:noWrap/>
                  <w:hideMark/>
                </w:tcPr>
                <w:p w14:paraId="0389E081"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1.A.4</w:t>
                  </w:r>
                </w:p>
              </w:tc>
              <w:tc>
                <w:tcPr>
                  <w:tcW w:w="1980" w:type="dxa"/>
                  <w:vMerge w:val="restart"/>
                </w:tcPr>
                <w:p w14:paraId="58A58478" w14:textId="40CBFE11" w:rsidR="17291720" w:rsidRPr="00AE235C" w:rsidRDefault="17291720"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Buildings</w:t>
                  </w:r>
                </w:p>
              </w:tc>
              <w:tc>
                <w:tcPr>
                  <w:tcW w:w="2267" w:type="dxa"/>
                  <w:noWrap/>
                  <w:hideMark/>
                </w:tcPr>
                <w:p w14:paraId="5B765F5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Residential and other sectors</w:t>
                  </w:r>
                </w:p>
              </w:tc>
              <w:tc>
                <w:tcPr>
                  <w:tcW w:w="1043" w:type="dxa"/>
                  <w:vMerge/>
                  <w:noWrap/>
                  <w:hideMark/>
                </w:tcPr>
                <w:p w14:paraId="6734B2CB"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6BBC114D" w14:textId="303D3071"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500CEFC4"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Building</w:t>
                  </w:r>
                </w:p>
              </w:tc>
            </w:tr>
            <w:tr w:rsidR="00D92EDD" w:rsidRPr="00AE235C" w14:paraId="3F3F1366" w14:textId="77777777" w:rsidTr="00D701AE">
              <w:trPr>
                <w:trHeight w:val="290"/>
              </w:trPr>
              <w:tc>
                <w:tcPr>
                  <w:tcW w:w="1159" w:type="dxa"/>
                  <w:noWrap/>
                  <w:hideMark/>
                </w:tcPr>
                <w:p w14:paraId="32F58A7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1.A.5</w:t>
                  </w:r>
                </w:p>
              </w:tc>
              <w:tc>
                <w:tcPr>
                  <w:tcW w:w="1980" w:type="dxa"/>
                  <w:vMerge/>
                </w:tcPr>
                <w:p w14:paraId="2A4BC511" w14:textId="77777777" w:rsidR="00491569" w:rsidRPr="00AE235C" w:rsidRDefault="00491569">
                  <w:pPr>
                    <w:rPr>
                      <w:rFonts w:ascii="Times New Roman" w:hAnsi="Times New Roman" w:cs="Times New Roman"/>
                      <w:sz w:val="18"/>
                      <w:szCs w:val="18"/>
                    </w:rPr>
                  </w:pPr>
                </w:p>
              </w:tc>
              <w:tc>
                <w:tcPr>
                  <w:tcW w:w="2267" w:type="dxa"/>
                  <w:noWrap/>
                  <w:hideMark/>
                </w:tcPr>
                <w:p w14:paraId="10CD14C7"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Non-Specified</w:t>
                  </w:r>
                </w:p>
              </w:tc>
              <w:tc>
                <w:tcPr>
                  <w:tcW w:w="1043" w:type="dxa"/>
                  <w:vMerge/>
                  <w:noWrap/>
                  <w:hideMark/>
                </w:tcPr>
                <w:p w14:paraId="26A2D635"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00086C5" w14:textId="19DA4AB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2661FB3A"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w:t>
                  </w:r>
                  <w:r w:rsidR="00945101">
                    <w:rPr>
                      <w:rFonts w:ascii="Times New Roman" w:eastAsia="Times New Roman" w:hAnsi="Times New Roman" w:cs="Times New Roman"/>
                      <w:color w:val="000000" w:themeColor="text1"/>
                      <w:sz w:val="18"/>
                      <w:szCs w:val="18"/>
                      <w:lang w:eastAsia="zh-CN"/>
                    </w:rPr>
                    <w:t>Other</w:t>
                  </w:r>
                </w:p>
              </w:tc>
            </w:tr>
            <w:tr w:rsidR="00D92EDD" w:rsidRPr="00AE235C" w14:paraId="4B7F10B1" w14:textId="77777777" w:rsidTr="00D701AE">
              <w:trPr>
                <w:trHeight w:val="290"/>
              </w:trPr>
              <w:tc>
                <w:tcPr>
                  <w:tcW w:w="1159" w:type="dxa"/>
                  <w:noWrap/>
                  <w:hideMark/>
                </w:tcPr>
                <w:p w14:paraId="71D8161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1.B.1</w:t>
                  </w:r>
                </w:p>
              </w:tc>
              <w:tc>
                <w:tcPr>
                  <w:tcW w:w="1980" w:type="dxa"/>
                  <w:vMerge w:val="restart"/>
                </w:tcPr>
                <w:p w14:paraId="54A2D6B1" w14:textId="5633B818" w:rsidR="6EF4962D" w:rsidRPr="00AE235C" w:rsidRDefault="6EF4962D"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Fuel Exploitation</w:t>
                  </w:r>
                </w:p>
              </w:tc>
              <w:tc>
                <w:tcPr>
                  <w:tcW w:w="2267" w:type="dxa"/>
                  <w:noWrap/>
                  <w:hideMark/>
                </w:tcPr>
                <w:p w14:paraId="09D4F2C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Solid Fuels</w:t>
                  </w:r>
                </w:p>
              </w:tc>
              <w:tc>
                <w:tcPr>
                  <w:tcW w:w="1043" w:type="dxa"/>
                  <w:vMerge/>
                  <w:noWrap/>
                  <w:hideMark/>
                </w:tcPr>
                <w:p w14:paraId="4972CEED"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47945FE" w14:textId="3CC3D92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76093727"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Fugitive Emissions</w:t>
                  </w:r>
                </w:p>
              </w:tc>
            </w:tr>
            <w:tr w:rsidR="00D92EDD" w:rsidRPr="00AE235C" w14:paraId="0014FFE9" w14:textId="77777777" w:rsidTr="00D701AE">
              <w:trPr>
                <w:trHeight w:val="290"/>
              </w:trPr>
              <w:tc>
                <w:tcPr>
                  <w:tcW w:w="1159" w:type="dxa"/>
                  <w:noWrap/>
                  <w:hideMark/>
                </w:tcPr>
                <w:p w14:paraId="64B033F6"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1.B.2</w:t>
                  </w:r>
                </w:p>
              </w:tc>
              <w:tc>
                <w:tcPr>
                  <w:tcW w:w="1980" w:type="dxa"/>
                  <w:vMerge/>
                </w:tcPr>
                <w:p w14:paraId="71342CA6" w14:textId="77777777" w:rsidR="00491569" w:rsidRPr="00AE235C" w:rsidRDefault="00491569">
                  <w:pPr>
                    <w:rPr>
                      <w:rFonts w:ascii="Times New Roman" w:hAnsi="Times New Roman" w:cs="Times New Roman"/>
                      <w:sz w:val="18"/>
                      <w:szCs w:val="18"/>
                    </w:rPr>
                  </w:pPr>
                </w:p>
              </w:tc>
              <w:tc>
                <w:tcPr>
                  <w:tcW w:w="2267" w:type="dxa"/>
                  <w:noWrap/>
                  <w:hideMark/>
                </w:tcPr>
                <w:p w14:paraId="56C64027"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Oil and Natural Gas</w:t>
                  </w:r>
                </w:p>
              </w:tc>
              <w:tc>
                <w:tcPr>
                  <w:tcW w:w="1043" w:type="dxa"/>
                  <w:vMerge/>
                  <w:noWrap/>
                  <w:hideMark/>
                </w:tcPr>
                <w:p w14:paraId="0E980591"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791A46A4" w14:textId="406EA7D3"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E</w:t>
                  </w:r>
                  <w:r w:rsidR="17822FD5" w:rsidRPr="00AE235C">
                    <w:rPr>
                      <w:rFonts w:ascii="Times New Roman" w:eastAsia="Times New Roman" w:hAnsi="Times New Roman" w:cs="Times New Roman"/>
                      <w:color w:val="000000" w:themeColor="text1"/>
                      <w:sz w:val="18"/>
                      <w:szCs w:val="18"/>
                      <w:lang w:eastAsia="zh-CN"/>
                    </w:rPr>
                    <w:t>N</w:t>
                  </w:r>
                  <w:r w:rsidRPr="00AE235C">
                    <w:rPr>
                      <w:rFonts w:ascii="Times New Roman" w:eastAsia="Times New Roman" w:hAnsi="Times New Roman" w:cs="Times New Roman"/>
                      <w:color w:val="000000" w:themeColor="text1"/>
                      <w:sz w:val="18"/>
                      <w:szCs w:val="18"/>
                      <w:lang w:eastAsia="zh-CN"/>
                    </w:rPr>
                    <w:t xml:space="preserve"> - Fugitive Emissions</w:t>
                  </w:r>
                </w:p>
              </w:tc>
            </w:tr>
            <w:tr w:rsidR="005F57A0" w:rsidRPr="00AE235C" w14:paraId="1B30C534" w14:textId="77777777" w:rsidTr="00D701AE">
              <w:trPr>
                <w:trHeight w:val="290"/>
              </w:trPr>
              <w:tc>
                <w:tcPr>
                  <w:tcW w:w="1159" w:type="dxa"/>
                  <w:noWrap/>
                  <w:hideMark/>
                </w:tcPr>
                <w:p w14:paraId="40AA4AB6"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2.A.1</w:t>
                  </w:r>
                </w:p>
              </w:tc>
              <w:tc>
                <w:tcPr>
                  <w:tcW w:w="1980" w:type="dxa"/>
                  <w:vMerge w:val="restart"/>
                </w:tcPr>
                <w:p w14:paraId="665CA444" w14:textId="482D3845" w:rsidR="005F57A0" w:rsidRPr="00AE235C" w:rsidRDefault="005F57A0"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Processes</w:t>
                  </w:r>
                </w:p>
              </w:tc>
              <w:tc>
                <w:tcPr>
                  <w:tcW w:w="2267" w:type="dxa"/>
                  <w:noWrap/>
                  <w:hideMark/>
                </w:tcPr>
                <w:p w14:paraId="60010361"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Cement production</w:t>
                  </w:r>
                </w:p>
              </w:tc>
              <w:tc>
                <w:tcPr>
                  <w:tcW w:w="1043" w:type="dxa"/>
                  <w:vMerge w:val="restart"/>
                  <w:noWrap/>
                  <w:hideMark/>
                </w:tcPr>
                <w:p w14:paraId="21EB90DC"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Industrial Processes</w:t>
                  </w:r>
                </w:p>
                <w:p w14:paraId="6520FB9F" w14:textId="77777777" w:rsidR="005F57A0" w:rsidRPr="00AE235C" w:rsidRDefault="005F57A0" w:rsidP="00D92EDD">
                  <w:pPr>
                    <w:rPr>
                      <w:rFonts w:ascii="Times New Roman" w:eastAsia="Times New Roman" w:hAnsi="Times New Roman" w:cs="Times New Roman"/>
                      <w:color w:val="000000"/>
                      <w:sz w:val="18"/>
                      <w:szCs w:val="18"/>
                      <w:lang w:eastAsia="zh-CN"/>
                    </w:rPr>
                  </w:pPr>
                </w:p>
                <w:p w14:paraId="3D61E957" w14:textId="77777777" w:rsidR="005F57A0" w:rsidRPr="00AE235C" w:rsidRDefault="005F57A0" w:rsidP="00D92EDD">
                  <w:pPr>
                    <w:rPr>
                      <w:rFonts w:ascii="Times New Roman" w:eastAsia="Times New Roman" w:hAnsi="Times New Roman" w:cs="Times New Roman"/>
                      <w:color w:val="000000"/>
                      <w:sz w:val="18"/>
                      <w:szCs w:val="18"/>
                      <w:lang w:eastAsia="zh-CN"/>
                    </w:rPr>
                  </w:pPr>
                </w:p>
              </w:tc>
              <w:tc>
                <w:tcPr>
                  <w:tcW w:w="2086" w:type="dxa"/>
                  <w:vMerge w:val="restart"/>
                  <w:noWrap/>
                  <w:hideMark/>
                </w:tcPr>
                <w:p w14:paraId="70417BA1" w14:textId="7AC02632" w:rsidR="005F57A0" w:rsidRPr="00AE235C" w:rsidRDefault="005F57A0" w:rsidP="00D92EDD">
                  <w:pPr>
                    <w:rPr>
                      <w:rFonts w:ascii="Times New Roman" w:eastAsia="Times New Roman" w:hAnsi="Times New Roman" w:cs="Times New Roman"/>
                      <w:color w:val="000000"/>
                      <w:sz w:val="18"/>
                      <w:szCs w:val="18"/>
                      <w:lang w:eastAsia="zh-CN"/>
                    </w:rPr>
                  </w:pPr>
                  <w:r w:rsidRPr="00EF37DB">
                    <w:rPr>
                      <w:rFonts w:ascii="Times New Roman" w:eastAsia="Times New Roman" w:hAnsi="Times New Roman" w:cs="Times New Roman"/>
                      <w:color w:val="000000"/>
                      <w:sz w:val="18"/>
                      <w:szCs w:val="18"/>
                      <w:lang w:eastAsia="zh-CN"/>
                    </w:rPr>
                    <w:t>IPPU - Mineral and Metal Industries</w:t>
                  </w:r>
                </w:p>
              </w:tc>
            </w:tr>
            <w:tr w:rsidR="005F57A0" w:rsidRPr="00AE235C" w14:paraId="6C147855" w14:textId="77777777" w:rsidTr="00D701AE">
              <w:trPr>
                <w:trHeight w:val="290"/>
              </w:trPr>
              <w:tc>
                <w:tcPr>
                  <w:tcW w:w="1159" w:type="dxa"/>
                  <w:noWrap/>
                  <w:hideMark/>
                </w:tcPr>
                <w:p w14:paraId="390A1D27"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2.A.2</w:t>
                  </w:r>
                </w:p>
              </w:tc>
              <w:tc>
                <w:tcPr>
                  <w:tcW w:w="1980" w:type="dxa"/>
                  <w:vMerge/>
                </w:tcPr>
                <w:p w14:paraId="6DCF9114" w14:textId="77777777" w:rsidR="005F57A0" w:rsidRPr="00AE235C" w:rsidRDefault="005F57A0">
                  <w:pPr>
                    <w:rPr>
                      <w:rFonts w:ascii="Times New Roman" w:hAnsi="Times New Roman" w:cs="Times New Roman"/>
                      <w:sz w:val="18"/>
                      <w:szCs w:val="18"/>
                    </w:rPr>
                  </w:pPr>
                </w:p>
              </w:tc>
              <w:tc>
                <w:tcPr>
                  <w:tcW w:w="2267" w:type="dxa"/>
                  <w:noWrap/>
                  <w:hideMark/>
                </w:tcPr>
                <w:p w14:paraId="540D4306"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Lime production</w:t>
                  </w:r>
                </w:p>
              </w:tc>
              <w:tc>
                <w:tcPr>
                  <w:tcW w:w="1043" w:type="dxa"/>
                  <w:vMerge/>
                  <w:noWrap/>
                  <w:hideMark/>
                </w:tcPr>
                <w:p w14:paraId="1BD11F90" w14:textId="77777777" w:rsidR="005F57A0" w:rsidRPr="00AE235C" w:rsidRDefault="005F57A0" w:rsidP="00D92EDD">
                  <w:pPr>
                    <w:rPr>
                      <w:rFonts w:ascii="Times New Roman" w:eastAsia="Times New Roman" w:hAnsi="Times New Roman" w:cs="Times New Roman"/>
                      <w:color w:val="000000"/>
                      <w:sz w:val="18"/>
                      <w:szCs w:val="18"/>
                      <w:lang w:eastAsia="zh-CN"/>
                    </w:rPr>
                  </w:pPr>
                </w:p>
              </w:tc>
              <w:tc>
                <w:tcPr>
                  <w:tcW w:w="2086" w:type="dxa"/>
                  <w:vMerge/>
                  <w:noWrap/>
                  <w:hideMark/>
                </w:tcPr>
                <w:p w14:paraId="40B49DBF" w14:textId="77777777" w:rsidR="005F57A0" w:rsidRPr="00AE235C" w:rsidRDefault="005F57A0" w:rsidP="00D92EDD">
                  <w:pPr>
                    <w:rPr>
                      <w:rFonts w:ascii="Times New Roman" w:eastAsia="Times New Roman" w:hAnsi="Times New Roman" w:cs="Times New Roman"/>
                      <w:color w:val="000000"/>
                      <w:sz w:val="18"/>
                      <w:szCs w:val="18"/>
                      <w:lang w:eastAsia="zh-CN"/>
                    </w:rPr>
                  </w:pPr>
                </w:p>
              </w:tc>
            </w:tr>
            <w:tr w:rsidR="005F57A0" w:rsidRPr="00AE235C" w14:paraId="6B453D74" w14:textId="77777777" w:rsidTr="00D701AE">
              <w:trPr>
                <w:trHeight w:val="290"/>
              </w:trPr>
              <w:tc>
                <w:tcPr>
                  <w:tcW w:w="1159" w:type="dxa"/>
                  <w:noWrap/>
                  <w:hideMark/>
                </w:tcPr>
                <w:p w14:paraId="68594DD0"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2.A.3</w:t>
                  </w:r>
                </w:p>
              </w:tc>
              <w:tc>
                <w:tcPr>
                  <w:tcW w:w="1980" w:type="dxa"/>
                  <w:vMerge/>
                </w:tcPr>
                <w:p w14:paraId="3823ECB4" w14:textId="77777777" w:rsidR="005F57A0" w:rsidRPr="00AE235C" w:rsidRDefault="005F57A0">
                  <w:pPr>
                    <w:rPr>
                      <w:rFonts w:ascii="Times New Roman" w:hAnsi="Times New Roman" w:cs="Times New Roman"/>
                      <w:sz w:val="18"/>
                      <w:szCs w:val="18"/>
                    </w:rPr>
                  </w:pPr>
                </w:p>
              </w:tc>
              <w:tc>
                <w:tcPr>
                  <w:tcW w:w="2267" w:type="dxa"/>
                  <w:noWrap/>
                  <w:hideMark/>
                </w:tcPr>
                <w:p w14:paraId="450B04FF"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Glass Production</w:t>
                  </w:r>
                </w:p>
              </w:tc>
              <w:tc>
                <w:tcPr>
                  <w:tcW w:w="1043" w:type="dxa"/>
                  <w:vMerge/>
                  <w:noWrap/>
                  <w:hideMark/>
                </w:tcPr>
                <w:p w14:paraId="52CB7BB5" w14:textId="77777777" w:rsidR="005F57A0" w:rsidRPr="00AE235C" w:rsidRDefault="005F57A0" w:rsidP="00D92EDD">
                  <w:pPr>
                    <w:rPr>
                      <w:rFonts w:ascii="Times New Roman" w:eastAsia="Times New Roman" w:hAnsi="Times New Roman" w:cs="Times New Roman"/>
                      <w:color w:val="000000"/>
                      <w:sz w:val="18"/>
                      <w:szCs w:val="18"/>
                      <w:lang w:eastAsia="zh-CN"/>
                    </w:rPr>
                  </w:pPr>
                </w:p>
              </w:tc>
              <w:tc>
                <w:tcPr>
                  <w:tcW w:w="2086" w:type="dxa"/>
                  <w:vMerge/>
                  <w:noWrap/>
                  <w:hideMark/>
                </w:tcPr>
                <w:p w14:paraId="6355BD1F" w14:textId="77777777" w:rsidR="005F57A0" w:rsidRPr="00AE235C" w:rsidRDefault="005F57A0" w:rsidP="00D92EDD">
                  <w:pPr>
                    <w:rPr>
                      <w:rFonts w:ascii="Times New Roman" w:eastAsia="Times New Roman" w:hAnsi="Times New Roman" w:cs="Times New Roman"/>
                      <w:color w:val="000000"/>
                      <w:sz w:val="18"/>
                      <w:szCs w:val="18"/>
                      <w:lang w:eastAsia="zh-CN"/>
                    </w:rPr>
                  </w:pPr>
                </w:p>
              </w:tc>
            </w:tr>
            <w:tr w:rsidR="005F57A0" w:rsidRPr="00AE235C" w14:paraId="6EA5F99C" w14:textId="77777777" w:rsidTr="00D701AE">
              <w:trPr>
                <w:trHeight w:val="290"/>
              </w:trPr>
              <w:tc>
                <w:tcPr>
                  <w:tcW w:w="1159" w:type="dxa"/>
                  <w:noWrap/>
                  <w:hideMark/>
                </w:tcPr>
                <w:p w14:paraId="5A537A42"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2.A.4</w:t>
                  </w:r>
                </w:p>
              </w:tc>
              <w:tc>
                <w:tcPr>
                  <w:tcW w:w="1980" w:type="dxa"/>
                  <w:vMerge/>
                </w:tcPr>
                <w:p w14:paraId="284A45D9" w14:textId="77777777" w:rsidR="005F57A0" w:rsidRPr="00AE235C" w:rsidRDefault="005F57A0">
                  <w:pPr>
                    <w:rPr>
                      <w:rFonts w:ascii="Times New Roman" w:hAnsi="Times New Roman" w:cs="Times New Roman"/>
                      <w:sz w:val="18"/>
                      <w:szCs w:val="18"/>
                    </w:rPr>
                  </w:pPr>
                </w:p>
              </w:tc>
              <w:tc>
                <w:tcPr>
                  <w:tcW w:w="2267" w:type="dxa"/>
                  <w:noWrap/>
                  <w:hideMark/>
                </w:tcPr>
                <w:p w14:paraId="4F861E34" w14:textId="77777777" w:rsidR="005F57A0" w:rsidRPr="00AE235C" w:rsidRDefault="005F57A0"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Other Process Uses of Carbonates</w:t>
                  </w:r>
                </w:p>
              </w:tc>
              <w:tc>
                <w:tcPr>
                  <w:tcW w:w="1043" w:type="dxa"/>
                  <w:vMerge/>
                  <w:noWrap/>
                  <w:hideMark/>
                </w:tcPr>
                <w:p w14:paraId="67417DC4" w14:textId="77777777" w:rsidR="005F57A0" w:rsidRPr="00AE235C" w:rsidRDefault="005F57A0" w:rsidP="00D92EDD">
                  <w:pPr>
                    <w:rPr>
                      <w:rFonts w:ascii="Times New Roman" w:eastAsia="Times New Roman" w:hAnsi="Times New Roman" w:cs="Times New Roman"/>
                      <w:color w:val="000000"/>
                      <w:sz w:val="18"/>
                      <w:szCs w:val="18"/>
                      <w:lang w:eastAsia="zh-CN"/>
                    </w:rPr>
                  </w:pPr>
                </w:p>
              </w:tc>
              <w:tc>
                <w:tcPr>
                  <w:tcW w:w="2086" w:type="dxa"/>
                  <w:vMerge/>
                  <w:noWrap/>
                  <w:hideMark/>
                </w:tcPr>
                <w:p w14:paraId="5682AFFA" w14:textId="77777777" w:rsidR="005F57A0" w:rsidRPr="00AE235C" w:rsidRDefault="005F57A0" w:rsidP="00D92EDD">
                  <w:pPr>
                    <w:rPr>
                      <w:rFonts w:ascii="Times New Roman" w:eastAsia="Times New Roman" w:hAnsi="Times New Roman" w:cs="Times New Roman"/>
                      <w:color w:val="000000"/>
                      <w:sz w:val="18"/>
                      <w:szCs w:val="18"/>
                      <w:lang w:eastAsia="zh-CN"/>
                    </w:rPr>
                  </w:pPr>
                </w:p>
              </w:tc>
            </w:tr>
            <w:tr w:rsidR="00184DA6" w:rsidRPr="00AE235C" w14:paraId="149B224C" w14:textId="77777777" w:rsidTr="00D701AE">
              <w:trPr>
                <w:trHeight w:val="290"/>
              </w:trPr>
              <w:tc>
                <w:tcPr>
                  <w:tcW w:w="1159" w:type="dxa"/>
                  <w:noWrap/>
                  <w:hideMark/>
                </w:tcPr>
                <w:p w14:paraId="7065D62C" w14:textId="77777777" w:rsidR="00184DA6" w:rsidRPr="00AE235C" w:rsidRDefault="00184DA6"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2.B</w:t>
                  </w:r>
                </w:p>
              </w:tc>
              <w:tc>
                <w:tcPr>
                  <w:tcW w:w="1980" w:type="dxa"/>
                  <w:vMerge/>
                </w:tcPr>
                <w:p w14:paraId="56B71C0F" w14:textId="77777777" w:rsidR="00184DA6" w:rsidRPr="00AE235C" w:rsidRDefault="00184DA6">
                  <w:pPr>
                    <w:rPr>
                      <w:rFonts w:ascii="Times New Roman" w:hAnsi="Times New Roman" w:cs="Times New Roman"/>
                      <w:sz w:val="18"/>
                      <w:szCs w:val="18"/>
                    </w:rPr>
                  </w:pPr>
                </w:p>
              </w:tc>
              <w:tc>
                <w:tcPr>
                  <w:tcW w:w="2267" w:type="dxa"/>
                  <w:noWrap/>
                  <w:hideMark/>
                </w:tcPr>
                <w:p w14:paraId="0DD6439C" w14:textId="77777777" w:rsidR="00184DA6" w:rsidRPr="00AE235C" w:rsidRDefault="00184DA6"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Chemical Industry</w:t>
                  </w:r>
                </w:p>
              </w:tc>
              <w:tc>
                <w:tcPr>
                  <w:tcW w:w="1043" w:type="dxa"/>
                  <w:vMerge/>
                  <w:noWrap/>
                  <w:hideMark/>
                </w:tcPr>
                <w:p w14:paraId="6FEC6141" w14:textId="77777777" w:rsidR="00184DA6" w:rsidRPr="00AE235C" w:rsidRDefault="00184DA6" w:rsidP="00D92EDD">
                  <w:pPr>
                    <w:rPr>
                      <w:rFonts w:ascii="Times New Roman" w:eastAsia="Times New Roman" w:hAnsi="Times New Roman" w:cs="Times New Roman"/>
                      <w:color w:val="000000"/>
                      <w:sz w:val="18"/>
                      <w:szCs w:val="18"/>
                      <w:lang w:eastAsia="zh-CN"/>
                    </w:rPr>
                  </w:pPr>
                </w:p>
              </w:tc>
              <w:tc>
                <w:tcPr>
                  <w:tcW w:w="2086" w:type="dxa"/>
                  <w:noWrap/>
                  <w:hideMark/>
                </w:tcPr>
                <w:p w14:paraId="5A5BF38C" w14:textId="4EDAD808" w:rsidR="00184DA6" w:rsidRPr="00AE235C" w:rsidRDefault="005F57A0" w:rsidP="00D92EDD">
                  <w:pPr>
                    <w:rPr>
                      <w:rFonts w:ascii="Times New Roman" w:eastAsia="Times New Roman" w:hAnsi="Times New Roman" w:cs="Times New Roman"/>
                      <w:color w:val="000000"/>
                      <w:sz w:val="18"/>
                      <w:szCs w:val="18"/>
                      <w:lang w:eastAsia="zh-CN"/>
                    </w:rPr>
                  </w:pPr>
                  <w:r w:rsidRPr="005F57A0">
                    <w:rPr>
                      <w:rFonts w:ascii="Times New Roman" w:eastAsia="Times New Roman" w:hAnsi="Times New Roman" w:cs="Times New Roman"/>
                      <w:color w:val="000000"/>
                      <w:sz w:val="18"/>
                      <w:szCs w:val="18"/>
                      <w:lang w:eastAsia="zh-CN"/>
                    </w:rPr>
                    <w:t>IPPU - Chemical and Industrial Product</w:t>
                  </w:r>
                </w:p>
              </w:tc>
            </w:tr>
            <w:tr w:rsidR="00184DA6" w:rsidRPr="00AE235C" w14:paraId="031D0D7E" w14:textId="77777777" w:rsidTr="00D701AE">
              <w:trPr>
                <w:trHeight w:val="290"/>
              </w:trPr>
              <w:tc>
                <w:tcPr>
                  <w:tcW w:w="1159" w:type="dxa"/>
                  <w:noWrap/>
                  <w:hideMark/>
                </w:tcPr>
                <w:p w14:paraId="1E7F6852" w14:textId="77777777" w:rsidR="00184DA6" w:rsidRPr="00AE235C" w:rsidRDefault="00184DA6"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2.C</w:t>
                  </w:r>
                </w:p>
              </w:tc>
              <w:tc>
                <w:tcPr>
                  <w:tcW w:w="1980" w:type="dxa"/>
                  <w:vMerge/>
                </w:tcPr>
                <w:p w14:paraId="3FCA5D1F" w14:textId="77777777" w:rsidR="00184DA6" w:rsidRPr="00AE235C" w:rsidRDefault="00184DA6">
                  <w:pPr>
                    <w:rPr>
                      <w:rFonts w:ascii="Times New Roman" w:hAnsi="Times New Roman" w:cs="Times New Roman"/>
                      <w:sz w:val="18"/>
                      <w:szCs w:val="18"/>
                    </w:rPr>
                  </w:pPr>
                </w:p>
              </w:tc>
              <w:tc>
                <w:tcPr>
                  <w:tcW w:w="2267" w:type="dxa"/>
                  <w:noWrap/>
                  <w:hideMark/>
                </w:tcPr>
                <w:p w14:paraId="18D1D9CC" w14:textId="77777777" w:rsidR="00184DA6" w:rsidRPr="00AE235C" w:rsidRDefault="00184DA6"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Metal Industry</w:t>
                  </w:r>
                </w:p>
              </w:tc>
              <w:tc>
                <w:tcPr>
                  <w:tcW w:w="1043" w:type="dxa"/>
                  <w:vMerge/>
                  <w:noWrap/>
                  <w:hideMark/>
                </w:tcPr>
                <w:p w14:paraId="459D2FF1" w14:textId="77777777" w:rsidR="00184DA6" w:rsidRPr="00AE235C" w:rsidRDefault="00184DA6" w:rsidP="00D92EDD">
                  <w:pPr>
                    <w:rPr>
                      <w:rFonts w:ascii="Times New Roman" w:eastAsia="Times New Roman" w:hAnsi="Times New Roman" w:cs="Times New Roman"/>
                      <w:color w:val="000000"/>
                      <w:sz w:val="18"/>
                      <w:szCs w:val="18"/>
                      <w:lang w:eastAsia="zh-CN"/>
                    </w:rPr>
                  </w:pPr>
                </w:p>
              </w:tc>
              <w:tc>
                <w:tcPr>
                  <w:tcW w:w="2086" w:type="dxa"/>
                  <w:noWrap/>
                  <w:hideMark/>
                </w:tcPr>
                <w:p w14:paraId="3A44F94F" w14:textId="78607471" w:rsidR="00184DA6" w:rsidRPr="00AE235C" w:rsidRDefault="005F57A0" w:rsidP="00D92EDD">
                  <w:pPr>
                    <w:rPr>
                      <w:rFonts w:ascii="Times New Roman" w:eastAsia="Times New Roman" w:hAnsi="Times New Roman" w:cs="Times New Roman"/>
                      <w:color w:val="000000"/>
                      <w:sz w:val="18"/>
                      <w:szCs w:val="18"/>
                      <w:lang w:eastAsia="zh-CN"/>
                    </w:rPr>
                  </w:pPr>
                  <w:r w:rsidRPr="005F57A0">
                    <w:rPr>
                      <w:rFonts w:ascii="Times New Roman" w:eastAsia="Times New Roman" w:hAnsi="Times New Roman" w:cs="Times New Roman"/>
                      <w:color w:val="000000"/>
                      <w:sz w:val="18"/>
                      <w:szCs w:val="18"/>
                      <w:lang w:eastAsia="zh-CN"/>
                    </w:rPr>
                    <w:t>IPPU - Mineral and Metal Industries</w:t>
                  </w:r>
                </w:p>
              </w:tc>
            </w:tr>
            <w:tr w:rsidR="00BF386F" w:rsidRPr="00AE235C" w14:paraId="1D22441E" w14:textId="77777777" w:rsidTr="00D701AE">
              <w:trPr>
                <w:trHeight w:val="290"/>
              </w:trPr>
              <w:tc>
                <w:tcPr>
                  <w:tcW w:w="1159" w:type="dxa"/>
                  <w:noWrap/>
                  <w:hideMark/>
                </w:tcPr>
                <w:p w14:paraId="0C9B3A52"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2.D</w:t>
                  </w:r>
                </w:p>
              </w:tc>
              <w:tc>
                <w:tcPr>
                  <w:tcW w:w="1980" w:type="dxa"/>
                  <w:vMerge/>
                </w:tcPr>
                <w:p w14:paraId="17B76D08" w14:textId="77777777" w:rsidR="00BF386F" w:rsidRPr="00AE235C" w:rsidRDefault="00BF386F">
                  <w:pPr>
                    <w:rPr>
                      <w:rFonts w:ascii="Times New Roman" w:hAnsi="Times New Roman" w:cs="Times New Roman"/>
                      <w:sz w:val="18"/>
                      <w:szCs w:val="18"/>
                    </w:rPr>
                  </w:pPr>
                </w:p>
              </w:tc>
              <w:tc>
                <w:tcPr>
                  <w:tcW w:w="2267" w:type="dxa"/>
                  <w:noWrap/>
                  <w:hideMark/>
                </w:tcPr>
                <w:p w14:paraId="3A192153"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Non-Energy Products from Fuels and Solvent Use</w:t>
                  </w:r>
                </w:p>
              </w:tc>
              <w:tc>
                <w:tcPr>
                  <w:tcW w:w="1043" w:type="dxa"/>
                  <w:vMerge/>
                  <w:noWrap/>
                  <w:hideMark/>
                </w:tcPr>
                <w:p w14:paraId="71204D33" w14:textId="77777777" w:rsidR="00BF386F" w:rsidRPr="00AE235C" w:rsidRDefault="00BF386F" w:rsidP="00D92EDD">
                  <w:pPr>
                    <w:rPr>
                      <w:rFonts w:ascii="Times New Roman" w:eastAsia="Times New Roman" w:hAnsi="Times New Roman" w:cs="Times New Roman"/>
                      <w:color w:val="000000"/>
                      <w:sz w:val="18"/>
                      <w:szCs w:val="18"/>
                      <w:lang w:eastAsia="zh-CN"/>
                    </w:rPr>
                  </w:pPr>
                </w:p>
              </w:tc>
              <w:tc>
                <w:tcPr>
                  <w:tcW w:w="2086" w:type="dxa"/>
                  <w:vMerge w:val="restart"/>
                  <w:noWrap/>
                  <w:hideMark/>
                </w:tcPr>
                <w:p w14:paraId="7F3E8932" w14:textId="3D6841A3" w:rsidR="00BF386F" w:rsidRPr="00AE235C" w:rsidRDefault="00BF386F" w:rsidP="00D92EDD">
                  <w:pPr>
                    <w:rPr>
                      <w:rFonts w:ascii="Times New Roman" w:eastAsia="Times New Roman" w:hAnsi="Times New Roman" w:cs="Times New Roman"/>
                      <w:color w:val="000000"/>
                      <w:sz w:val="18"/>
                      <w:szCs w:val="18"/>
                      <w:lang w:eastAsia="zh-CN"/>
                    </w:rPr>
                  </w:pPr>
                  <w:r w:rsidRPr="00BF386F">
                    <w:rPr>
                      <w:rFonts w:ascii="Times New Roman" w:eastAsia="Times New Roman" w:hAnsi="Times New Roman" w:cs="Times New Roman"/>
                      <w:color w:val="000000"/>
                      <w:sz w:val="18"/>
                      <w:szCs w:val="18"/>
                      <w:lang w:eastAsia="zh-CN"/>
                    </w:rPr>
                    <w:t>IPPU - Chemical and Industrial Product</w:t>
                  </w:r>
                </w:p>
              </w:tc>
            </w:tr>
            <w:tr w:rsidR="00BF386F" w:rsidRPr="00AE235C" w14:paraId="0210CF77" w14:textId="77777777" w:rsidTr="00D701AE">
              <w:trPr>
                <w:trHeight w:val="290"/>
              </w:trPr>
              <w:tc>
                <w:tcPr>
                  <w:tcW w:w="1159" w:type="dxa"/>
                  <w:noWrap/>
                  <w:hideMark/>
                </w:tcPr>
                <w:p w14:paraId="469BFD9A"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2.E</w:t>
                  </w:r>
                </w:p>
              </w:tc>
              <w:tc>
                <w:tcPr>
                  <w:tcW w:w="1980" w:type="dxa"/>
                  <w:vMerge/>
                </w:tcPr>
                <w:p w14:paraId="320CEC08" w14:textId="77777777" w:rsidR="00BF386F" w:rsidRPr="00AE235C" w:rsidRDefault="00BF386F">
                  <w:pPr>
                    <w:rPr>
                      <w:rFonts w:ascii="Times New Roman" w:hAnsi="Times New Roman" w:cs="Times New Roman"/>
                      <w:sz w:val="18"/>
                      <w:szCs w:val="18"/>
                    </w:rPr>
                  </w:pPr>
                </w:p>
              </w:tc>
              <w:tc>
                <w:tcPr>
                  <w:tcW w:w="2267" w:type="dxa"/>
                  <w:noWrap/>
                  <w:hideMark/>
                </w:tcPr>
                <w:p w14:paraId="695CDA74"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Electronics Industry</w:t>
                  </w:r>
                </w:p>
              </w:tc>
              <w:tc>
                <w:tcPr>
                  <w:tcW w:w="1043" w:type="dxa"/>
                  <w:vMerge/>
                  <w:noWrap/>
                  <w:hideMark/>
                </w:tcPr>
                <w:p w14:paraId="2A35885B" w14:textId="77777777" w:rsidR="00BF386F" w:rsidRPr="00AE235C" w:rsidRDefault="00BF386F" w:rsidP="00D92EDD">
                  <w:pPr>
                    <w:rPr>
                      <w:rFonts w:ascii="Times New Roman" w:eastAsia="Times New Roman" w:hAnsi="Times New Roman" w:cs="Times New Roman"/>
                      <w:color w:val="000000"/>
                      <w:sz w:val="18"/>
                      <w:szCs w:val="18"/>
                      <w:lang w:eastAsia="zh-CN"/>
                    </w:rPr>
                  </w:pPr>
                </w:p>
              </w:tc>
              <w:tc>
                <w:tcPr>
                  <w:tcW w:w="2086" w:type="dxa"/>
                  <w:vMerge/>
                  <w:noWrap/>
                  <w:hideMark/>
                </w:tcPr>
                <w:p w14:paraId="62BCDA55" w14:textId="77777777" w:rsidR="00BF386F" w:rsidRPr="00AE235C" w:rsidRDefault="00BF386F" w:rsidP="00D92EDD">
                  <w:pPr>
                    <w:rPr>
                      <w:rFonts w:ascii="Times New Roman" w:eastAsia="Times New Roman" w:hAnsi="Times New Roman" w:cs="Times New Roman"/>
                      <w:color w:val="000000"/>
                      <w:sz w:val="18"/>
                      <w:szCs w:val="18"/>
                      <w:lang w:eastAsia="zh-CN"/>
                    </w:rPr>
                  </w:pPr>
                </w:p>
              </w:tc>
            </w:tr>
            <w:tr w:rsidR="00BF386F" w:rsidRPr="00AE235C" w14:paraId="71C4493B" w14:textId="77777777" w:rsidTr="00D701AE">
              <w:trPr>
                <w:trHeight w:val="290"/>
              </w:trPr>
              <w:tc>
                <w:tcPr>
                  <w:tcW w:w="1159" w:type="dxa"/>
                  <w:noWrap/>
                  <w:hideMark/>
                </w:tcPr>
                <w:p w14:paraId="59F3C0E0"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2.F</w:t>
                  </w:r>
                </w:p>
              </w:tc>
              <w:tc>
                <w:tcPr>
                  <w:tcW w:w="1980" w:type="dxa"/>
                  <w:vMerge/>
                </w:tcPr>
                <w:p w14:paraId="33EA3E5C" w14:textId="77777777" w:rsidR="00BF386F" w:rsidRPr="00AE235C" w:rsidRDefault="00BF386F">
                  <w:pPr>
                    <w:rPr>
                      <w:rFonts w:ascii="Times New Roman" w:hAnsi="Times New Roman" w:cs="Times New Roman"/>
                      <w:sz w:val="18"/>
                      <w:szCs w:val="18"/>
                    </w:rPr>
                  </w:pPr>
                </w:p>
              </w:tc>
              <w:tc>
                <w:tcPr>
                  <w:tcW w:w="2267" w:type="dxa"/>
                  <w:noWrap/>
                  <w:hideMark/>
                </w:tcPr>
                <w:p w14:paraId="773B3780"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Product Uses as Substitutes for Ozone Depleting Substances</w:t>
                  </w:r>
                </w:p>
              </w:tc>
              <w:tc>
                <w:tcPr>
                  <w:tcW w:w="1043" w:type="dxa"/>
                  <w:vMerge/>
                  <w:noWrap/>
                  <w:hideMark/>
                </w:tcPr>
                <w:p w14:paraId="35CD3072" w14:textId="77777777" w:rsidR="00BF386F" w:rsidRPr="00AE235C" w:rsidRDefault="00BF386F" w:rsidP="00D92EDD">
                  <w:pPr>
                    <w:rPr>
                      <w:rFonts w:ascii="Times New Roman" w:eastAsia="Times New Roman" w:hAnsi="Times New Roman" w:cs="Times New Roman"/>
                      <w:color w:val="000000"/>
                      <w:sz w:val="18"/>
                      <w:szCs w:val="18"/>
                      <w:lang w:eastAsia="zh-CN"/>
                    </w:rPr>
                  </w:pPr>
                </w:p>
              </w:tc>
              <w:tc>
                <w:tcPr>
                  <w:tcW w:w="2086" w:type="dxa"/>
                  <w:vMerge/>
                  <w:noWrap/>
                  <w:hideMark/>
                </w:tcPr>
                <w:p w14:paraId="1BC86480" w14:textId="77777777" w:rsidR="00BF386F" w:rsidRPr="00AE235C" w:rsidRDefault="00BF386F" w:rsidP="00D92EDD">
                  <w:pPr>
                    <w:rPr>
                      <w:rFonts w:ascii="Times New Roman" w:eastAsia="Times New Roman" w:hAnsi="Times New Roman" w:cs="Times New Roman"/>
                      <w:color w:val="000000"/>
                      <w:sz w:val="18"/>
                      <w:szCs w:val="18"/>
                      <w:lang w:eastAsia="zh-CN"/>
                    </w:rPr>
                  </w:pPr>
                </w:p>
              </w:tc>
            </w:tr>
            <w:tr w:rsidR="00BF386F" w:rsidRPr="00AE235C" w14:paraId="2387009C" w14:textId="77777777" w:rsidTr="00D701AE">
              <w:trPr>
                <w:trHeight w:val="290"/>
              </w:trPr>
              <w:tc>
                <w:tcPr>
                  <w:tcW w:w="1159" w:type="dxa"/>
                  <w:noWrap/>
                  <w:hideMark/>
                </w:tcPr>
                <w:p w14:paraId="123A4842"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2.G</w:t>
                  </w:r>
                </w:p>
              </w:tc>
              <w:tc>
                <w:tcPr>
                  <w:tcW w:w="1980" w:type="dxa"/>
                  <w:vMerge/>
                </w:tcPr>
                <w:p w14:paraId="51812101" w14:textId="77777777" w:rsidR="00BF386F" w:rsidRPr="00AE235C" w:rsidRDefault="00BF386F">
                  <w:pPr>
                    <w:rPr>
                      <w:rFonts w:ascii="Times New Roman" w:hAnsi="Times New Roman" w:cs="Times New Roman"/>
                      <w:sz w:val="18"/>
                      <w:szCs w:val="18"/>
                    </w:rPr>
                  </w:pPr>
                </w:p>
              </w:tc>
              <w:tc>
                <w:tcPr>
                  <w:tcW w:w="2267" w:type="dxa"/>
                  <w:noWrap/>
                  <w:hideMark/>
                </w:tcPr>
                <w:p w14:paraId="60F2CE23" w14:textId="77777777" w:rsidR="00BF386F" w:rsidRPr="00AE235C" w:rsidRDefault="00BF386F"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Other Product Manufacture and Use</w:t>
                  </w:r>
                </w:p>
              </w:tc>
              <w:tc>
                <w:tcPr>
                  <w:tcW w:w="1043" w:type="dxa"/>
                  <w:vMerge/>
                  <w:noWrap/>
                  <w:hideMark/>
                </w:tcPr>
                <w:p w14:paraId="5DDAFD77" w14:textId="77777777" w:rsidR="00BF386F" w:rsidRPr="00AE235C" w:rsidRDefault="00BF386F" w:rsidP="00D92EDD">
                  <w:pPr>
                    <w:rPr>
                      <w:rFonts w:ascii="Times New Roman" w:eastAsia="Times New Roman" w:hAnsi="Times New Roman" w:cs="Times New Roman"/>
                      <w:color w:val="000000"/>
                      <w:sz w:val="18"/>
                      <w:szCs w:val="18"/>
                      <w:lang w:eastAsia="zh-CN"/>
                    </w:rPr>
                  </w:pPr>
                </w:p>
              </w:tc>
              <w:tc>
                <w:tcPr>
                  <w:tcW w:w="2086" w:type="dxa"/>
                  <w:vMerge/>
                  <w:noWrap/>
                  <w:hideMark/>
                </w:tcPr>
                <w:p w14:paraId="353A9586" w14:textId="77777777" w:rsidR="00BF386F" w:rsidRPr="00AE235C" w:rsidRDefault="00BF386F" w:rsidP="00D92EDD">
                  <w:pPr>
                    <w:rPr>
                      <w:rFonts w:ascii="Times New Roman" w:eastAsia="Times New Roman" w:hAnsi="Times New Roman" w:cs="Times New Roman"/>
                      <w:color w:val="000000"/>
                      <w:sz w:val="18"/>
                      <w:szCs w:val="18"/>
                      <w:lang w:eastAsia="zh-CN"/>
                    </w:rPr>
                  </w:pPr>
                </w:p>
              </w:tc>
            </w:tr>
            <w:tr w:rsidR="00D92EDD" w:rsidRPr="00AE235C" w14:paraId="3F975480" w14:textId="77777777" w:rsidTr="00D701AE">
              <w:trPr>
                <w:trHeight w:val="290"/>
              </w:trPr>
              <w:tc>
                <w:tcPr>
                  <w:tcW w:w="1159" w:type="dxa"/>
                  <w:noWrap/>
                  <w:hideMark/>
                </w:tcPr>
                <w:p w14:paraId="0D2F2CB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3.A.1</w:t>
                  </w:r>
                </w:p>
              </w:tc>
              <w:tc>
                <w:tcPr>
                  <w:tcW w:w="1980" w:type="dxa"/>
                  <w:vMerge w:val="restart"/>
                </w:tcPr>
                <w:p w14:paraId="7D2D1E9D" w14:textId="5B402E84" w:rsidR="49AADD91" w:rsidRPr="00AE235C" w:rsidRDefault="49AADD91"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Agriculture</w:t>
                  </w:r>
                </w:p>
              </w:tc>
              <w:tc>
                <w:tcPr>
                  <w:tcW w:w="2267" w:type="dxa"/>
                  <w:noWrap/>
                  <w:hideMark/>
                </w:tcPr>
                <w:p w14:paraId="65D39D0E"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Enteric Fermentation</w:t>
                  </w:r>
                </w:p>
              </w:tc>
              <w:tc>
                <w:tcPr>
                  <w:tcW w:w="1043" w:type="dxa"/>
                  <w:vMerge w:val="restart"/>
                  <w:noWrap/>
                  <w:hideMark/>
                </w:tcPr>
                <w:p w14:paraId="023D18D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Agriculture</w:t>
                  </w:r>
                </w:p>
                <w:p w14:paraId="7CEF12D9"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7AB2FCC0" w14:textId="7740338D"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3841F86D"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Livestock</w:t>
                  </w:r>
                </w:p>
              </w:tc>
            </w:tr>
            <w:tr w:rsidR="00D92EDD" w:rsidRPr="00AE235C" w14:paraId="28AFBE16" w14:textId="77777777" w:rsidTr="00D701AE">
              <w:trPr>
                <w:trHeight w:val="290"/>
              </w:trPr>
              <w:tc>
                <w:tcPr>
                  <w:tcW w:w="1159" w:type="dxa"/>
                  <w:noWrap/>
                  <w:hideMark/>
                </w:tcPr>
                <w:p w14:paraId="2B918AFE"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3.A.2</w:t>
                  </w:r>
                </w:p>
              </w:tc>
              <w:tc>
                <w:tcPr>
                  <w:tcW w:w="1980" w:type="dxa"/>
                  <w:vMerge/>
                </w:tcPr>
                <w:p w14:paraId="3A3366FA" w14:textId="77777777" w:rsidR="00491569" w:rsidRPr="00AE235C" w:rsidRDefault="00491569">
                  <w:pPr>
                    <w:rPr>
                      <w:rFonts w:ascii="Times New Roman" w:hAnsi="Times New Roman" w:cs="Times New Roman"/>
                      <w:sz w:val="18"/>
                      <w:szCs w:val="18"/>
                    </w:rPr>
                  </w:pPr>
                </w:p>
              </w:tc>
              <w:tc>
                <w:tcPr>
                  <w:tcW w:w="2267" w:type="dxa"/>
                  <w:noWrap/>
                  <w:hideMark/>
                </w:tcPr>
                <w:p w14:paraId="098DF99C"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Manure Management</w:t>
                  </w:r>
                </w:p>
              </w:tc>
              <w:tc>
                <w:tcPr>
                  <w:tcW w:w="1043" w:type="dxa"/>
                  <w:vMerge/>
                  <w:noWrap/>
                  <w:hideMark/>
                </w:tcPr>
                <w:p w14:paraId="26AD8627"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6A004DA6" w14:textId="1B55B0E6"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0A8129AA"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Livestock</w:t>
                  </w:r>
                </w:p>
              </w:tc>
            </w:tr>
            <w:tr w:rsidR="00D92EDD" w:rsidRPr="00AE235C" w14:paraId="70528C7D" w14:textId="77777777" w:rsidTr="00D701AE">
              <w:trPr>
                <w:trHeight w:val="290"/>
              </w:trPr>
              <w:tc>
                <w:tcPr>
                  <w:tcW w:w="1159" w:type="dxa"/>
                  <w:noWrap/>
                  <w:hideMark/>
                </w:tcPr>
                <w:p w14:paraId="791C113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3.C.1</w:t>
                  </w:r>
                </w:p>
              </w:tc>
              <w:tc>
                <w:tcPr>
                  <w:tcW w:w="1980" w:type="dxa"/>
                  <w:vMerge/>
                </w:tcPr>
                <w:p w14:paraId="2B9ABB92" w14:textId="77777777" w:rsidR="00491569" w:rsidRPr="00AE235C" w:rsidRDefault="00491569">
                  <w:pPr>
                    <w:rPr>
                      <w:rFonts w:ascii="Times New Roman" w:hAnsi="Times New Roman" w:cs="Times New Roman"/>
                      <w:sz w:val="18"/>
                      <w:szCs w:val="18"/>
                    </w:rPr>
                  </w:pPr>
                </w:p>
              </w:tc>
              <w:tc>
                <w:tcPr>
                  <w:tcW w:w="2267" w:type="dxa"/>
                  <w:noWrap/>
                  <w:hideMark/>
                </w:tcPr>
                <w:p w14:paraId="44CDE9F6"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Emissions from biomass burning</w:t>
                  </w:r>
                </w:p>
              </w:tc>
              <w:tc>
                <w:tcPr>
                  <w:tcW w:w="1043" w:type="dxa"/>
                  <w:vMerge/>
                  <w:noWrap/>
                  <w:hideMark/>
                </w:tcPr>
                <w:p w14:paraId="2A956101"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3FB726A6" w14:textId="07703510"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3737FECA"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4B1053D5" w14:textId="77777777" w:rsidTr="00D701AE">
              <w:trPr>
                <w:trHeight w:val="290"/>
              </w:trPr>
              <w:tc>
                <w:tcPr>
                  <w:tcW w:w="1159" w:type="dxa"/>
                  <w:noWrap/>
                  <w:hideMark/>
                </w:tcPr>
                <w:p w14:paraId="29E47D9D"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3.C.2</w:t>
                  </w:r>
                </w:p>
              </w:tc>
              <w:tc>
                <w:tcPr>
                  <w:tcW w:w="1980" w:type="dxa"/>
                  <w:vMerge/>
                </w:tcPr>
                <w:p w14:paraId="1AEDABBF" w14:textId="77777777" w:rsidR="00491569" w:rsidRPr="00AE235C" w:rsidRDefault="00491569">
                  <w:pPr>
                    <w:rPr>
                      <w:rFonts w:ascii="Times New Roman" w:hAnsi="Times New Roman" w:cs="Times New Roman"/>
                      <w:sz w:val="18"/>
                      <w:szCs w:val="18"/>
                    </w:rPr>
                  </w:pPr>
                </w:p>
              </w:tc>
              <w:tc>
                <w:tcPr>
                  <w:tcW w:w="2267" w:type="dxa"/>
                  <w:noWrap/>
                  <w:hideMark/>
                </w:tcPr>
                <w:p w14:paraId="3DB3C095"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Liming</w:t>
                  </w:r>
                </w:p>
              </w:tc>
              <w:tc>
                <w:tcPr>
                  <w:tcW w:w="1043" w:type="dxa"/>
                  <w:vMerge/>
                  <w:noWrap/>
                  <w:hideMark/>
                </w:tcPr>
                <w:p w14:paraId="33EFF816"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180D234F" w14:textId="646DF29B"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56C77DBF"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70526B5E" w14:textId="77777777" w:rsidTr="00D701AE">
              <w:trPr>
                <w:trHeight w:val="290"/>
              </w:trPr>
              <w:tc>
                <w:tcPr>
                  <w:tcW w:w="1159" w:type="dxa"/>
                  <w:noWrap/>
                  <w:hideMark/>
                </w:tcPr>
                <w:p w14:paraId="4C6CECD1"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3.C.3</w:t>
                  </w:r>
                </w:p>
              </w:tc>
              <w:tc>
                <w:tcPr>
                  <w:tcW w:w="1980" w:type="dxa"/>
                  <w:vMerge/>
                </w:tcPr>
                <w:p w14:paraId="2A76D4AD" w14:textId="77777777" w:rsidR="00491569" w:rsidRPr="00AE235C" w:rsidRDefault="00491569">
                  <w:pPr>
                    <w:rPr>
                      <w:rFonts w:ascii="Times New Roman" w:hAnsi="Times New Roman" w:cs="Times New Roman"/>
                      <w:sz w:val="18"/>
                      <w:szCs w:val="18"/>
                    </w:rPr>
                  </w:pPr>
                </w:p>
              </w:tc>
              <w:tc>
                <w:tcPr>
                  <w:tcW w:w="2267" w:type="dxa"/>
                  <w:noWrap/>
                  <w:hideMark/>
                </w:tcPr>
                <w:p w14:paraId="09C5F0FC"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Urea application</w:t>
                  </w:r>
                </w:p>
              </w:tc>
              <w:tc>
                <w:tcPr>
                  <w:tcW w:w="1043" w:type="dxa"/>
                  <w:vMerge/>
                  <w:noWrap/>
                  <w:hideMark/>
                </w:tcPr>
                <w:p w14:paraId="09BAABF9"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9641A51" w14:textId="6BB48954"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6A84CF09"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196DF03B" w14:textId="77777777" w:rsidTr="00D701AE">
              <w:trPr>
                <w:trHeight w:val="290"/>
              </w:trPr>
              <w:tc>
                <w:tcPr>
                  <w:tcW w:w="1159" w:type="dxa"/>
                  <w:noWrap/>
                  <w:hideMark/>
                </w:tcPr>
                <w:p w14:paraId="24EDDC1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3.C.4</w:t>
                  </w:r>
                </w:p>
              </w:tc>
              <w:tc>
                <w:tcPr>
                  <w:tcW w:w="1980" w:type="dxa"/>
                  <w:vMerge/>
                </w:tcPr>
                <w:p w14:paraId="721603F1" w14:textId="77777777" w:rsidR="00491569" w:rsidRPr="00AE235C" w:rsidRDefault="00491569">
                  <w:pPr>
                    <w:rPr>
                      <w:rFonts w:ascii="Times New Roman" w:hAnsi="Times New Roman" w:cs="Times New Roman"/>
                      <w:sz w:val="18"/>
                      <w:szCs w:val="18"/>
                    </w:rPr>
                  </w:pPr>
                </w:p>
              </w:tc>
              <w:tc>
                <w:tcPr>
                  <w:tcW w:w="2267" w:type="dxa"/>
                  <w:noWrap/>
                  <w:hideMark/>
                </w:tcPr>
                <w:p w14:paraId="54219B1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Direct N2O Emissions from managed soils</w:t>
                  </w:r>
                </w:p>
              </w:tc>
              <w:tc>
                <w:tcPr>
                  <w:tcW w:w="1043" w:type="dxa"/>
                  <w:vMerge/>
                  <w:noWrap/>
                  <w:hideMark/>
                </w:tcPr>
                <w:p w14:paraId="2847FD21"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6CC695CE" w14:textId="4EED46FD"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1074B9B0"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14BC3102" w14:textId="77777777" w:rsidTr="00D701AE">
              <w:trPr>
                <w:trHeight w:val="290"/>
              </w:trPr>
              <w:tc>
                <w:tcPr>
                  <w:tcW w:w="1159" w:type="dxa"/>
                  <w:noWrap/>
                  <w:hideMark/>
                </w:tcPr>
                <w:p w14:paraId="29A5CC98"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3.C.5</w:t>
                  </w:r>
                </w:p>
              </w:tc>
              <w:tc>
                <w:tcPr>
                  <w:tcW w:w="1980" w:type="dxa"/>
                  <w:vMerge/>
                </w:tcPr>
                <w:p w14:paraId="418726B3" w14:textId="77777777" w:rsidR="00491569" w:rsidRPr="00AE235C" w:rsidRDefault="00491569">
                  <w:pPr>
                    <w:rPr>
                      <w:rFonts w:ascii="Times New Roman" w:hAnsi="Times New Roman" w:cs="Times New Roman"/>
                      <w:sz w:val="18"/>
                      <w:szCs w:val="18"/>
                    </w:rPr>
                  </w:pPr>
                </w:p>
              </w:tc>
              <w:tc>
                <w:tcPr>
                  <w:tcW w:w="2267" w:type="dxa"/>
                  <w:noWrap/>
                  <w:hideMark/>
                </w:tcPr>
                <w:p w14:paraId="58A6AFC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Indirect N2O Emissions from managed soils</w:t>
                  </w:r>
                </w:p>
              </w:tc>
              <w:tc>
                <w:tcPr>
                  <w:tcW w:w="1043" w:type="dxa"/>
                  <w:vMerge/>
                  <w:noWrap/>
                  <w:hideMark/>
                </w:tcPr>
                <w:p w14:paraId="0DB2F104"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24D4DA01" w14:textId="662731AB"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7FB7387D"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116870A5" w14:textId="77777777" w:rsidTr="00D701AE">
              <w:trPr>
                <w:trHeight w:val="290"/>
              </w:trPr>
              <w:tc>
                <w:tcPr>
                  <w:tcW w:w="1159" w:type="dxa"/>
                  <w:noWrap/>
                  <w:hideMark/>
                </w:tcPr>
                <w:p w14:paraId="12B0C8A3"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3.C.6</w:t>
                  </w:r>
                </w:p>
              </w:tc>
              <w:tc>
                <w:tcPr>
                  <w:tcW w:w="1980" w:type="dxa"/>
                  <w:vMerge/>
                </w:tcPr>
                <w:p w14:paraId="5860A76D" w14:textId="77777777" w:rsidR="00491569" w:rsidRPr="00AE235C" w:rsidRDefault="00491569">
                  <w:pPr>
                    <w:rPr>
                      <w:rFonts w:ascii="Times New Roman" w:hAnsi="Times New Roman" w:cs="Times New Roman"/>
                      <w:sz w:val="18"/>
                      <w:szCs w:val="18"/>
                    </w:rPr>
                  </w:pPr>
                </w:p>
              </w:tc>
              <w:tc>
                <w:tcPr>
                  <w:tcW w:w="2267" w:type="dxa"/>
                  <w:noWrap/>
                  <w:hideMark/>
                </w:tcPr>
                <w:p w14:paraId="230DBD74"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Indirect N2O Emissions from manure management</w:t>
                  </w:r>
                </w:p>
              </w:tc>
              <w:tc>
                <w:tcPr>
                  <w:tcW w:w="1043" w:type="dxa"/>
                  <w:vMerge/>
                  <w:noWrap/>
                  <w:hideMark/>
                </w:tcPr>
                <w:p w14:paraId="6129D35F"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1C9EC140" w14:textId="6375819F"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04C11421"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0925AE38" w14:textId="77777777" w:rsidTr="00D701AE">
              <w:trPr>
                <w:trHeight w:val="290"/>
              </w:trPr>
              <w:tc>
                <w:tcPr>
                  <w:tcW w:w="1159" w:type="dxa"/>
                  <w:noWrap/>
                  <w:hideMark/>
                </w:tcPr>
                <w:p w14:paraId="6EB62CD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3.C.7</w:t>
                  </w:r>
                </w:p>
              </w:tc>
              <w:tc>
                <w:tcPr>
                  <w:tcW w:w="1980" w:type="dxa"/>
                  <w:vMerge/>
                </w:tcPr>
                <w:p w14:paraId="45462A1F" w14:textId="77777777" w:rsidR="00491569" w:rsidRPr="00AE235C" w:rsidRDefault="00491569">
                  <w:pPr>
                    <w:rPr>
                      <w:rFonts w:ascii="Times New Roman" w:hAnsi="Times New Roman" w:cs="Times New Roman"/>
                      <w:sz w:val="18"/>
                      <w:szCs w:val="18"/>
                    </w:rPr>
                  </w:pPr>
                </w:p>
              </w:tc>
              <w:tc>
                <w:tcPr>
                  <w:tcW w:w="2267" w:type="dxa"/>
                  <w:noWrap/>
                  <w:hideMark/>
                </w:tcPr>
                <w:p w14:paraId="5DE388E6"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Rice cultivations</w:t>
                  </w:r>
                </w:p>
              </w:tc>
              <w:tc>
                <w:tcPr>
                  <w:tcW w:w="1043" w:type="dxa"/>
                  <w:vMerge/>
                  <w:noWrap/>
                  <w:hideMark/>
                </w:tcPr>
                <w:p w14:paraId="7D07DA5C"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3150F076" w14:textId="00E03965"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A</w:t>
                  </w:r>
                  <w:r w:rsidR="125050A3" w:rsidRPr="00AE235C">
                    <w:rPr>
                      <w:rFonts w:ascii="Times New Roman" w:eastAsia="Times New Roman" w:hAnsi="Times New Roman" w:cs="Times New Roman"/>
                      <w:color w:val="000000" w:themeColor="text1"/>
                      <w:sz w:val="18"/>
                      <w:szCs w:val="18"/>
                      <w:lang w:eastAsia="zh-CN"/>
                    </w:rPr>
                    <w:t>G</w:t>
                  </w:r>
                  <w:r w:rsidRPr="00AE235C">
                    <w:rPr>
                      <w:rFonts w:ascii="Times New Roman" w:eastAsia="Times New Roman" w:hAnsi="Times New Roman" w:cs="Times New Roman"/>
                      <w:color w:val="000000" w:themeColor="text1"/>
                      <w:sz w:val="18"/>
                      <w:szCs w:val="18"/>
                      <w:lang w:eastAsia="zh-CN"/>
                    </w:rPr>
                    <w:t xml:space="preserve"> </w:t>
                  </w:r>
                  <w:r w:rsidR="00865DF7" w:rsidRPr="00AE235C">
                    <w:rPr>
                      <w:rFonts w:ascii="Times New Roman" w:eastAsia="Times New Roman" w:hAnsi="Times New Roman" w:cs="Times New Roman"/>
                      <w:color w:val="000000" w:themeColor="text1"/>
                      <w:sz w:val="18"/>
                      <w:szCs w:val="18"/>
                      <w:lang w:eastAsia="zh-CN"/>
                    </w:rPr>
                    <w:t>–</w:t>
                  </w:r>
                  <w:r w:rsidRPr="00AE235C">
                    <w:rPr>
                      <w:rFonts w:ascii="Times New Roman" w:eastAsia="Times New Roman" w:hAnsi="Times New Roman" w:cs="Times New Roman"/>
                      <w:color w:val="000000" w:themeColor="text1"/>
                      <w:sz w:val="18"/>
                      <w:szCs w:val="18"/>
                      <w:lang w:eastAsia="zh-CN"/>
                    </w:rPr>
                    <w:t xml:space="preserve"> crops</w:t>
                  </w:r>
                </w:p>
              </w:tc>
            </w:tr>
            <w:tr w:rsidR="00D92EDD" w:rsidRPr="00AE235C" w14:paraId="19450C4D" w14:textId="77777777" w:rsidTr="00D701AE">
              <w:trPr>
                <w:trHeight w:val="290"/>
              </w:trPr>
              <w:tc>
                <w:tcPr>
                  <w:tcW w:w="1159" w:type="dxa"/>
                  <w:noWrap/>
                  <w:hideMark/>
                </w:tcPr>
                <w:p w14:paraId="05995B8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4.A</w:t>
                  </w:r>
                </w:p>
              </w:tc>
              <w:tc>
                <w:tcPr>
                  <w:tcW w:w="1980" w:type="dxa"/>
                  <w:vMerge w:val="restart"/>
                </w:tcPr>
                <w:p w14:paraId="6A98A673" w14:textId="0FABC72E" w:rsidR="24105BA5" w:rsidRPr="00AE235C" w:rsidRDefault="24105BA5"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Waste</w:t>
                  </w:r>
                </w:p>
              </w:tc>
              <w:tc>
                <w:tcPr>
                  <w:tcW w:w="2267" w:type="dxa"/>
                  <w:noWrap/>
                  <w:hideMark/>
                </w:tcPr>
                <w:p w14:paraId="67594B4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Solid Waste Disposal</w:t>
                  </w:r>
                </w:p>
              </w:tc>
              <w:tc>
                <w:tcPr>
                  <w:tcW w:w="1043" w:type="dxa"/>
                  <w:vMerge w:val="restart"/>
                  <w:noWrap/>
                  <w:hideMark/>
                </w:tcPr>
                <w:p w14:paraId="67AA62BF"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Waste</w:t>
                  </w:r>
                </w:p>
                <w:p w14:paraId="0E9B25D0"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710649AB" w14:textId="350691C3"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 xml:space="preserve">Waste </w:t>
                  </w:r>
                  <w:r w:rsidR="00865DF7" w:rsidRPr="00AE235C">
                    <w:rPr>
                      <w:rFonts w:ascii="Times New Roman" w:eastAsia="Times New Roman" w:hAnsi="Times New Roman" w:cs="Times New Roman"/>
                      <w:color w:val="000000"/>
                      <w:sz w:val="18"/>
                      <w:szCs w:val="18"/>
                      <w:lang w:eastAsia="zh-CN"/>
                    </w:rPr>
                    <w:t>–</w:t>
                  </w:r>
                  <w:r w:rsidRPr="00AE235C">
                    <w:rPr>
                      <w:rFonts w:ascii="Times New Roman" w:eastAsia="Times New Roman" w:hAnsi="Times New Roman" w:cs="Times New Roman"/>
                      <w:color w:val="000000"/>
                      <w:sz w:val="18"/>
                      <w:szCs w:val="18"/>
                      <w:lang w:eastAsia="zh-CN"/>
                    </w:rPr>
                    <w:t xml:space="preserve"> Solid Waste</w:t>
                  </w:r>
                </w:p>
              </w:tc>
            </w:tr>
            <w:tr w:rsidR="00D92EDD" w:rsidRPr="00AE235C" w14:paraId="0C680377" w14:textId="77777777" w:rsidTr="00D701AE">
              <w:trPr>
                <w:trHeight w:val="290"/>
              </w:trPr>
              <w:tc>
                <w:tcPr>
                  <w:tcW w:w="1159" w:type="dxa"/>
                  <w:noWrap/>
                  <w:hideMark/>
                </w:tcPr>
                <w:p w14:paraId="08F59E1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4.B</w:t>
                  </w:r>
                </w:p>
              </w:tc>
              <w:tc>
                <w:tcPr>
                  <w:tcW w:w="1980" w:type="dxa"/>
                  <w:vMerge/>
                </w:tcPr>
                <w:p w14:paraId="14BD6EF1" w14:textId="77777777" w:rsidR="00491569" w:rsidRPr="00AE235C" w:rsidRDefault="00491569">
                  <w:pPr>
                    <w:rPr>
                      <w:rFonts w:ascii="Times New Roman" w:hAnsi="Times New Roman" w:cs="Times New Roman"/>
                      <w:sz w:val="18"/>
                      <w:szCs w:val="18"/>
                    </w:rPr>
                  </w:pPr>
                </w:p>
              </w:tc>
              <w:tc>
                <w:tcPr>
                  <w:tcW w:w="2267" w:type="dxa"/>
                  <w:noWrap/>
                  <w:hideMark/>
                </w:tcPr>
                <w:p w14:paraId="51BEDA6E"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Biological Treatment of Solid Waste</w:t>
                  </w:r>
                </w:p>
              </w:tc>
              <w:tc>
                <w:tcPr>
                  <w:tcW w:w="1043" w:type="dxa"/>
                  <w:vMerge/>
                  <w:noWrap/>
                  <w:hideMark/>
                </w:tcPr>
                <w:p w14:paraId="21CE9464"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0D1F7F6C" w14:textId="5812B6EA"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 xml:space="preserve">Waste </w:t>
                  </w:r>
                  <w:r w:rsidR="00865DF7" w:rsidRPr="00AE235C">
                    <w:rPr>
                      <w:rFonts w:ascii="Times New Roman" w:eastAsia="Times New Roman" w:hAnsi="Times New Roman" w:cs="Times New Roman"/>
                      <w:color w:val="000000"/>
                      <w:sz w:val="18"/>
                      <w:szCs w:val="18"/>
                      <w:lang w:eastAsia="zh-CN"/>
                    </w:rPr>
                    <w:t>–</w:t>
                  </w:r>
                  <w:r w:rsidRPr="00AE235C">
                    <w:rPr>
                      <w:rFonts w:ascii="Times New Roman" w:eastAsia="Times New Roman" w:hAnsi="Times New Roman" w:cs="Times New Roman"/>
                      <w:color w:val="000000"/>
                      <w:sz w:val="18"/>
                      <w:szCs w:val="18"/>
                      <w:lang w:eastAsia="zh-CN"/>
                    </w:rPr>
                    <w:t xml:space="preserve"> Solid Waste</w:t>
                  </w:r>
                </w:p>
              </w:tc>
            </w:tr>
            <w:tr w:rsidR="00D92EDD" w:rsidRPr="00AE235C" w14:paraId="59930F4D" w14:textId="77777777" w:rsidTr="00D701AE">
              <w:trPr>
                <w:trHeight w:val="290"/>
              </w:trPr>
              <w:tc>
                <w:tcPr>
                  <w:tcW w:w="1159" w:type="dxa"/>
                  <w:noWrap/>
                  <w:hideMark/>
                </w:tcPr>
                <w:p w14:paraId="0D59ACAC"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4.C</w:t>
                  </w:r>
                </w:p>
              </w:tc>
              <w:tc>
                <w:tcPr>
                  <w:tcW w:w="1980" w:type="dxa"/>
                  <w:vMerge/>
                </w:tcPr>
                <w:p w14:paraId="652E7E89" w14:textId="77777777" w:rsidR="00491569" w:rsidRPr="00AE235C" w:rsidRDefault="00491569">
                  <w:pPr>
                    <w:rPr>
                      <w:rFonts w:ascii="Times New Roman" w:hAnsi="Times New Roman" w:cs="Times New Roman"/>
                      <w:sz w:val="18"/>
                      <w:szCs w:val="18"/>
                    </w:rPr>
                  </w:pPr>
                </w:p>
              </w:tc>
              <w:tc>
                <w:tcPr>
                  <w:tcW w:w="2267" w:type="dxa"/>
                  <w:noWrap/>
                  <w:hideMark/>
                </w:tcPr>
                <w:p w14:paraId="4441FE0D"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Incineration and Open Burning of Waste</w:t>
                  </w:r>
                </w:p>
              </w:tc>
              <w:tc>
                <w:tcPr>
                  <w:tcW w:w="1043" w:type="dxa"/>
                  <w:vMerge/>
                  <w:noWrap/>
                  <w:hideMark/>
                </w:tcPr>
                <w:p w14:paraId="32BC2213"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7673F536" w14:textId="61000284"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 xml:space="preserve">Waste </w:t>
                  </w:r>
                  <w:r w:rsidR="00865DF7" w:rsidRPr="00AE235C">
                    <w:rPr>
                      <w:rFonts w:ascii="Times New Roman" w:eastAsia="Times New Roman" w:hAnsi="Times New Roman" w:cs="Times New Roman"/>
                      <w:color w:val="000000"/>
                      <w:sz w:val="18"/>
                      <w:szCs w:val="18"/>
                      <w:lang w:eastAsia="zh-CN"/>
                    </w:rPr>
                    <w:t>–</w:t>
                  </w:r>
                  <w:r w:rsidRPr="00AE235C">
                    <w:rPr>
                      <w:rFonts w:ascii="Times New Roman" w:eastAsia="Times New Roman" w:hAnsi="Times New Roman" w:cs="Times New Roman"/>
                      <w:color w:val="000000"/>
                      <w:sz w:val="18"/>
                      <w:szCs w:val="18"/>
                      <w:lang w:eastAsia="zh-CN"/>
                    </w:rPr>
                    <w:t xml:space="preserve"> Solid Waste</w:t>
                  </w:r>
                </w:p>
              </w:tc>
            </w:tr>
            <w:tr w:rsidR="00D92EDD" w:rsidRPr="00AE235C" w14:paraId="7351CA14" w14:textId="77777777" w:rsidTr="00D701AE">
              <w:trPr>
                <w:trHeight w:val="290"/>
              </w:trPr>
              <w:tc>
                <w:tcPr>
                  <w:tcW w:w="1159" w:type="dxa"/>
                  <w:noWrap/>
                  <w:hideMark/>
                </w:tcPr>
                <w:p w14:paraId="79BEF262"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4.D</w:t>
                  </w:r>
                </w:p>
              </w:tc>
              <w:tc>
                <w:tcPr>
                  <w:tcW w:w="1980" w:type="dxa"/>
                  <w:vMerge/>
                </w:tcPr>
                <w:p w14:paraId="4F60AFB2" w14:textId="77777777" w:rsidR="00491569" w:rsidRPr="00AE235C" w:rsidRDefault="00491569">
                  <w:pPr>
                    <w:rPr>
                      <w:rFonts w:ascii="Times New Roman" w:hAnsi="Times New Roman" w:cs="Times New Roman"/>
                      <w:sz w:val="18"/>
                      <w:szCs w:val="18"/>
                    </w:rPr>
                  </w:pPr>
                </w:p>
              </w:tc>
              <w:tc>
                <w:tcPr>
                  <w:tcW w:w="2267" w:type="dxa"/>
                  <w:noWrap/>
                  <w:hideMark/>
                </w:tcPr>
                <w:p w14:paraId="2D658BA5"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Wastewater Treatment and Discharge</w:t>
                  </w:r>
                </w:p>
              </w:tc>
              <w:tc>
                <w:tcPr>
                  <w:tcW w:w="1043" w:type="dxa"/>
                  <w:vMerge/>
                  <w:noWrap/>
                  <w:hideMark/>
                </w:tcPr>
                <w:p w14:paraId="2BAAFE1A"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hideMark/>
                </w:tcPr>
                <w:p w14:paraId="59E2F805" w14:textId="586D597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 xml:space="preserve">Waste </w:t>
                  </w:r>
                  <w:r w:rsidR="00865DF7" w:rsidRPr="00AE235C">
                    <w:rPr>
                      <w:rFonts w:ascii="Times New Roman" w:eastAsia="Times New Roman" w:hAnsi="Times New Roman" w:cs="Times New Roman"/>
                      <w:color w:val="000000"/>
                      <w:sz w:val="18"/>
                      <w:szCs w:val="18"/>
                      <w:lang w:eastAsia="zh-CN"/>
                    </w:rPr>
                    <w:t>–</w:t>
                  </w:r>
                  <w:r w:rsidRPr="00AE235C">
                    <w:rPr>
                      <w:rFonts w:ascii="Times New Roman" w:eastAsia="Times New Roman" w:hAnsi="Times New Roman" w:cs="Times New Roman"/>
                      <w:color w:val="000000"/>
                      <w:sz w:val="18"/>
                      <w:szCs w:val="18"/>
                      <w:lang w:eastAsia="zh-CN"/>
                    </w:rPr>
                    <w:t xml:space="preserve"> Wastewater Treatment</w:t>
                  </w:r>
                </w:p>
              </w:tc>
            </w:tr>
            <w:tr w:rsidR="00D92EDD" w:rsidRPr="00AE235C" w14:paraId="38E3C0C7" w14:textId="77777777" w:rsidTr="00D701AE">
              <w:trPr>
                <w:trHeight w:val="290"/>
              </w:trPr>
              <w:tc>
                <w:tcPr>
                  <w:tcW w:w="1159" w:type="dxa"/>
                  <w:noWrap/>
                  <w:hideMark/>
                </w:tcPr>
                <w:p w14:paraId="23C2618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5.A</w:t>
                  </w:r>
                </w:p>
              </w:tc>
              <w:tc>
                <w:tcPr>
                  <w:tcW w:w="1980" w:type="dxa"/>
                </w:tcPr>
                <w:p w14:paraId="21745133" w14:textId="482D3845" w:rsidR="73AAD91F" w:rsidRPr="00AE235C" w:rsidRDefault="73AAD91F"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Processes</w:t>
                  </w:r>
                </w:p>
                <w:p w14:paraId="76103236" w14:textId="75B2CC85" w:rsidR="73AAD91F" w:rsidRPr="00AE235C" w:rsidRDefault="73AAD91F" w:rsidP="7F707081">
                  <w:pPr>
                    <w:rPr>
                      <w:rFonts w:ascii="Times New Roman" w:eastAsia="Times New Roman" w:hAnsi="Times New Roman" w:cs="Times New Roman"/>
                      <w:color w:val="000000" w:themeColor="text1"/>
                      <w:sz w:val="18"/>
                      <w:szCs w:val="18"/>
                      <w:lang w:eastAsia="zh-CN"/>
                    </w:rPr>
                  </w:pPr>
                </w:p>
              </w:tc>
              <w:tc>
                <w:tcPr>
                  <w:tcW w:w="2267" w:type="dxa"/>
                  <w:noWrap/>
                  <w:hideMark/>
                </w:tcPr>
                <w:p w14:paraId="7324EA22" w14:textId="760E306D"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Indirect N2O emissions from the atmospheric deposition of nitrogen in N</w:t>
                  </w:r>
                  <w:r w:rsidR="00865DF7" w:rsidRPr="00AE235C">
                    <w:rPr>
                      <w:rFonts w:ascii="Times New Roman" w:eastAsia="Times New Roman" w:hAnsi="Times New Roman" w:cs="Times New Roman"/>
                      <w:color w:val="000000"/>
                      <w:sz w:val="18"/>
                      <w:szCs w:val="18"/>
                      <w:lang w:eastAsia="zh-CN"/>
                    </w:rPr>
                    <w:t>O</w:t>
                  </w:r>
                  <w:r w:rsidRPr="00AE235C">
                    <w:rPr>
                      <w:rFonts w:ascii="Times New Roman" w:eastAsia="Times New Roman" w:hAnsi="Times New Roman" w:cs="Times New Roman"/>
                      <w:color w:val="000000"/>
                      <w:sz w:val="18"/>
                      <w:szCs w:val="18"/>
                      <w:lang w:eastAsia="zh-CN"/>
                    </w:rPr>
                    <w:t>x and NH3</w:t>
                  </w:r>
                </w:p>
              </w:tc>
              <w:tc>
                <w:tcPr>
                  <w:tcW w:w="1043" w:type="dxa"/>
                  <w:noWrap/>
                  <w:hideMark/>
                </w:tcPr>
                <w:p w14:paraId="6A3715FB"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Industrial Processes</w:t>
                  </w:r>
                </w:p>
              </w:tc>
              <w:tc>
                <w:tcPr>
                  <w:tcW w:w="2086" w:type="dxa"/>
                  <w:noWrap/>
                  <w:hideMark/>
                </w:tcPr>
                <w:p w14:paraId="5E53334C" w14:textId="4A77B9EF" w:rsidR="00D92EDD" w:rsidRPr="00AE235C" w:rsidRDefault="00BF386F" w:rsidP="00D92EDD">
                  <w:pPr>
                    <w:rPr>
                      <w:rFonts w:ascii="Times New Roman" w:eastAsia="Times New Roman" w:hAnsi="Times New Roman" w:cs="Times New Roman"/>
                      <w:sz w:val="18"/>
                      <w:szCs w:val="18"/>
                      <w:lang w:eastAsia="zh-CN"/>
                    </w:rPr>
                  </w:pPr>
                  <w:r>
                    <w:rPr>
                      <w:rFonts w:ascii="Times New Roman" w:eastAsia="Times New Roman" w:hAnsi="Times New Roman" w:cs="Times New Roman"/>
                      <w:color w:val="000000"/>
                      <w:sz w:val="18"/>
                      <w:szCs w:val="18"/>
                      <w:lang w:eastAsia="zh-CN"/>
                    </w:rPr>
                    <w:t>IPPU – Other</w:t>
                  </w:r>
                </w:p>
              </w:tc>
            </w:tr>
            <w:tr w:rsidR="00D92EDD" w:rsidRPr="00AE235C" w14:paraId="2A14790E" w14:textId="77777777" w:rsidTr="00D701AE">
              <w:trPr>
                <w:trHeight w:val="290"/>
              </w:trPr>
              <w:tc>
                <w:tcPr>
                  <w:tcW w:w="1159" w:type="dxa"/>
                  <w:noWrap/>
                  <w:hideMark/>
                </w:tcPr>
                <w:p w14:paraId="146767C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5.B</w:t>
                  </w:r>
                </w:p>
              </w:tc>
              <w:tc>
                <w:tcPr>
                  <w:tcW w:w="1980" w:type="dxa"/>
                </w:tcPr>
                <w:p w14:paraId="20E92F1D" w14:textId="5DAFC6B3" w:rsidR="493D2454" w:rsidRPr="00AE235C" w:rsidRDefault="493D2454"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Fuel Exploitation</w:t>
                  </w:r>
                </w:p>
              </w:tc>
              <w:tc>
                <w:tcPr>
                  <w:tcW w:w="2267" w:type="dxa"/>
                  <w:noWrap/>
                  <w:hideMark/>
                </w:tcPr>
                <w:p w14:paraId="5E056D86"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Fossil fuel fires</w:t>
                  </w:r>
                </w:p>
              </w:tc>
              <w:tc>
                <w:tcPr>
                  <w:tcW w:w="1043" w:type="dxa"/>
                  <w:noWrap/>
                  <w:hideMark/>
                </w:tcPr>
                <w:p w14:paraId="11478FEA"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Energy</w:t>
                  </w:r>
                </w:p>
              </w:tc>
              <w:tc>
                <w:tcPr>
                  <w:tcW w:w="2086" w:type="dxa"/>
                  <w:noWrap/>
                  <w:hideMark/>
                </w:tcPr>
                <w:p w14:paraId="0168BC82" w14:textId="78C85C62" w:rsidR="00D92EDD" w:rsidRPr="00AE235C" w:rsidRDefault="00310F44" w:rsidP="00D92EDD">
                  <w:pPr>
                    <w:rPr>
                      <w:rFonts w:ascii="Times New Roman" w:eastAsia="Times New Roman" w:hAnsi="Times New Roman" w:cs="Times New Roman"/>
                      <w:color w:val="000000"/>
                      <w:sz w:val="18"/>
                      <w:szCs w:val="18"/>
                      <w:lang w:eastAsia="zh-CN"/>
                    </w:rPr>
                  </w:pPr>
                  <w:r w:rsidRPr="00310F44">
                    <w:rPr>
                      <w:rFonts w:ascii="Times New Roman" w:eastAsia="Times New Roman" w:hAnsi="Times New Roman" w:cs="Times New Roman"/>
                      <w:color w:val="000000" w:themeColor="text1"/>
                      <w:sz w:val="18"/>
                      <w:szCs w:val="18"/>
                      <w:lang w:eastAsia="zh-CN"/>
                    </w:rPr>
                    <w:t>EN - Fuel Exploitation</w:t>
                  </w:r>
                </w:p>
              </w:tc>
            </w:tr>
            <w:tr w:rsidR="00D92EDD" w:rsidRPr="00AE235C" w14:paraId="0A03B111" w14:textId="77777777" w:rsidTr="00D701AE">
              <w:trPr>
                <w:trHeight w:val="290"/>
              </w:trPr>
              <w:tc>
                <w:tcPr>
                  <w:tcW w:w="1159" w:type="dxa"/>
                  <w:noWrap/>
                </w:tcPr>
                <w:p w14:paraId="3FE4C4DB" w14:textId="0368A684" w:rsidR="00D92EDD" w:rsidRPr="00AE235C" w:rsidRDefault="67B21208"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3.B.2.b.i</w:t>
                  </w:r>
                </w:p>
                <w:p w14:paraId="343DB594" w14:textId="3D568301" w:rsidR="00D92EDD" w:rsidRPr="00AE235C" w:rsidRDefault="67B21208"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3.B.3.b.i</w:t>
                  </w:r>
                </w:p>
                <w:p w14:paraId="60E434FF" w14:textId="06815273" w:rsidR="00D92EDD" w:rsidRPr="00AE235C" w:rsidRDefault="67B21208"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3.B.5.b.i</w:t>
                  </w:r>
                </w:p>
                <w:p w14:paraId="68713266" w14:textId="1882674F" w:rsidR="00D92EDD" w:rsidRPr="00AE235C" w:rsidRDefault="67B21208"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3.B.6.b.i</w:t>
                  </w:r>
                </w:p>
                <w:p w14:paraId="18223ABC" w14:textId="242FB42D" w:rsidR="00D92EDD" w:rsidRPr="00AE235C" w:rsidRDefault="00D92EDD" w:rsidP="2FCB26E2">
                  <w:pPr>
                    <w:rPr>
                      <w:rFonts w:ascii="Times New Roman" w:eastAsia="Times New Roman" w:hAnsi="Times New Roman" w:cs="Times New Roman"/>
                      <w:color w:val="000000" w:themeColor="text1"/>
                      <w:sz w:val="18"/>
                      <w:szCs w:val="18"/>
                      <w:lang w:eastAsia="zh-CN"/>
                    </w:rPr>
                  </w:pPr>
                </w:p>
                <w:p w14:paraId="0CF33725" w14:textId="1E1A3533" w:rsidR="00D92EDD" w:rsidRPr="00AE235C" w:rsidRDefault="00D92EDD" w:rsidP="2FCB26E2">
                  <w:pPr>
                    <w:rPr>
                      <w:rFonts w:ascii="Times New Roman" w:eastAsia="Times New Roman" w:hAnsi="Times New Roman" w:cs="Times New Roman"/>
                      <w:color w:val="000000" w:themeColor="text1"/>
                      <w:sz w:val="18"/>
                      <w:szCs w:val="18"/>
                      <w:lang w:eastAsia="zh-CN"/>
                    </w:rPr>
                  </w:pPr>
                </w:p>
                <w:p w14:paraId="2EE743EB" w14:textId="024A1930" w:rsidR="00D92EDD" w:rsidRPr="00AE235C" w:rsidRDefault="00D92EDD" w:rsidP="2FCB26E2">
                  <w:pPr>
                    <w:rPr>
                      <w:rFonts w:ascii="Times New Roman" w:eastAsia="Times New Roman" w:hAnsi="Times New Roman" w:cs="Times New Roman"/>
                      <w:color w:val="000000" w:themeColor="text1"/>
                      <w:sz w:val="18"/>
                      <w:szCs w:val="18"/>
                      <w:lang w:eastAsia="zh-CN"/>
                    </w:rPr>
                  </w:pPr>
                </w:p>
                <w:p w14:paraId="701B4ECD" w14:textId="7D40A5BD" w:rsidR="00D92EDD" w:rsidRPr="00AE235C" w:rsidRDefault="00D92EDD" w:rsidP="00D92EDD">
                  <w:pPr>
                    <w:rPr>
                      <w:rFonts w:ascii="Times New Roman" w:eastAsia="Times New Roman" w:hAnsi="Times New Roman" w:cs="Times New Roman"/>
                      <w:color w:val="000000"/>
                      <w:sz w:val="18"/>
                      <w:szCs w:val="18"/>
                      <w:lang w:eastAsia="zh-CN"/>
                    </w:rPr>
                  </w:pPr>
                </w:p>
              </w:tc>
              <w:tc>
                <w:tcPr>
                  <w:tcW w:w="1980" w:type="dxa"/>
                  <w:vMerge w:val="restart"/>
                </w:tcPr>
                <w:p w14:paraId="32BB61A5" w14:textId="77777777" w:rsidR="00675337" w:rsidRPr="00AE235C" w:rsidRDefault="00675337" w:rsidP="00675337">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Land Use, land use Change and Forestry</w:t>
                  </w:r>
                </w:p>
                <w:p w14:paraId="73C158C5" w14:textId="5E9C53A9" w:rsidR="202F6A3C" w:rsidRPr="00AE235C" w:rsidRDefault="00DE65F4" w:rsidP="7F707081">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w:t>
                  </w:r>
                  <w:r w:rsidR="202F6A3C" w:rsidRPr="00AE235C">
                    <w:rPr>
                      <w:rFonts w:ascii="Times New Roman" w:eastAsia="Times New Roman" w:hAnsi="Times New Roman" w:cs="Times New Roman"/>
                      <w:color w:val="000000" w:themeColor="text1"/>
                      <w:sz w:val="18"/>
                      <w:szCs w:val="18"/>
                      <w:lang w:eastAsia="zh-CN"/>
                    </w:rPr>
                    <w:t>LULUCF</w:t>
                  </w:r>
                  <w:r w:rsidRPr="00AE235C">
                    <w:rPr>
                      <w:rFonts w:ascii="Times New Roman" w:eastAsia="Times New Roman" w:hAnsi="Times New Roman" w:cs="Times New Roman"/>
                      <w:color w:val="000000" w:themeColor="text1"/>
                      <w:sz w:val="18"/>
                      <w:szCs w:val="18"/>
                      <w:lang w:eastAsia="zh-CN"/>
                    </w:rPr>
                    <w:t>)</w:t>
                  </w:r>
                </w:p>
                <w:p w14:paraId="51507D3D" w14:textId="3900F755" w:rsidR="202F6A3C" w:rsidRPr="00AE235C" w:rsidRDefault="202F6A3C" w:rsidP="7F707081">
                  <w:pPr>
                    <w:rPr>
                      <w:rFonts w:ascii="Times New Roman" w:eastAsia="Times New Roman" w:hAnsi="Times New Roman" w:cs="Times New Roman"/>
                      <w:color w:val="000000" w:themeColor="text1"/>
                      <w:sz w:val="18"/>
                      <w:szCs w:val="18"/>
                      <w:lang w:eastAsia="zh-CN"/>
                    </w:rPr>
                  </w:pPr>
                </w:p>
              </w:tc>
              <w:tc>
                <w:tcPr>
                  <w:tcW w:w="2267" w:type="dxa"/>
                  <w:noWrap/>
                </w:tcPr>
                <w:p w14:paraId="62AB0438"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Deforestation</w:t>
                  </w:r>
                </w:p>
              </w:tc>
              <w:tc>
                <w:tcPr>
                  <w:tcW w:w="1043" w:type="dxa"/>
                  <w:vMerge w:val="restart"/>
                  <w:noWrap/>
                </w:tcPr>
                <w:p w14:paraId="55CDD699" w14:textId="74145BDF"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Land</w:t>
                  </w:r>
                  <w:r w:rsidR="00FF02EB" w:rsidRPr="00AE235C">
                    <w:rPr>
                      <w:rFonts w:ascii="Times New Roman" w:eastAsia="Times New Roman" w:hAnsi="Times New Roman" w:cs="Times New Roman"/>
                      <w:color w:val="000000"/>
                      <w:sz w:val="18"/>
                      <w:szCs w:val="18"/>
                      <w:lang w:eastAsia="zh-CN"/>
                    </w:rPr>
                    <w:t xml:space="preserve"> </w:t>
                  </w:r>
                  <w:r w:rsidRPr="00AE235C">
                    <w:rPr>
                      <w:rFonts w:ascii="Times New Roman" w:eastAsia="Times New Roman" w:hAnsi="Times New Roman" w:cs="Times New Roman"/>
                      <w:color w:val="000000"/>
                      <w:sz w:val="18"/>
                      <w:szCs w:val="18"/>
                      <w:lang w:eastAsia="zh-CN"/>
                    </w:rPr>
                    <w:t>Use</w:t>
                  </w:r>
                  <w:r w:rsidR="00FF02EB" w:rsidRPr="00AE235C">
                    <w:rPr>
                      <w:rFonts w:ascii="Times New Roman" w:eastAsia="Times New Roman" w:hAnsi="Times New Roman" w:cs="Times New Roman"/>
                      <w:color w:val="000000"/>
                      <w:sz w:val="18"/>
                      <w:szCs w:val="18"/>
                      <w:lang w:eastAsia="zh-CN"/>
                    </w:rPr>
                    <w:t>, land use</w:t>
                  </w:r>
                  <w:r w:rsidRPr="00AE235C">
                    <w:rPr>
                      <w:rFonts w:ascii="Times New Roman" w:eastAsia="Times New Roman" w:hAnsi="Times New Roman" w:cs="Times New Roman"/>
                      <w:color w:val="000000"/>
                      <w:sz w:val="18"/>
                      <w:szCs w:val="18"/>
                      <w:lang w:eastAsia="zh-CN"/>
                    </w:rPr>
                    <w:t xml:space="preserve"> Change and Forestry</w:t>
                  </w:r>
                </w:p>
                <w:p w14:paraId="54AE87E5"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tcPr>
                <w:p w14:paraId="46A02DA3"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Calibri" w:hAnsi="Times New Roman" w:cs="Times New Roman"/>
                      <w:color w:val="000000" w:themeColor="text1"/>
                      <w:sz w:val="18"/>
                      <w:szCs w:val="18"/>
                    </w:rPr>
                    <w:t>LULUCF - Deforestation</w:t>
                  </w:r>
                </w:p>
              </w:tc>
            </w:tr>
            <w:tr w:rsidR="00D92EDD" w:rsidRPr="00AE235C" w14:paraId="5672BDBA" w14:textId="77777777" w:rsidTr="00D701AE">
              <w:trPr>
                <w:trHeight w:val="290"/>
              </w:trPr>
              <w:tc>
                <w:tcPr>
                  <w:tcW w:w="1159" w:type="dxa"/>
                  <w:noWrap/>
                </w:tcPr>
                <w:p w14:paraId="4AAC8D67" w14:textId="36198E1D" w:rsidR="00D92EDD" w:rsidRPr="00357674" w:rsidRDefault="3BDBBF80" w:rsidP="00D92EDD">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3.B.1</w:t>
                  </w:r>
                </w:p>
              </w:tc>
              <w:tc>
                <w:tcPr>
                  <w:tcW w:w="1980" w:type="dxa"/>
                  <w:vMerge/>
                </w:tcPr>
                <w:p w14:paraId="4F130CB5" w14:textId="77777777" w:rsidR="00491569" w:rsidRPr="00AE235C" w:rsidRDefault="00491569">
                  <w:pPr>
                    <w:rPr>
                      <w:rFonts w:ascii="Times New Roman" w:hAnsi="Times New Roman" w:cs="Times New Roman"/>
                      <w:sz w:val="18"/>
                      <w:szCs w:val="18"/>
                    </w:rPr>
                  </w:pPr>
                </w:p>
              </w:tc>
              <w:tc>
                <w:tcPr>
                  <w:tcW w:w="2267" w:type="dxa"/>
                  <w:noWrap/>
                </w:tcPr>
                <w:p w14:paraId="58B9730C"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sz w:val="18"/>
                      <w:szCs w:val="18"/>
                      <w:lang w:eastAsia="zh-CN"/>
                    </w:rPr>
                    <w:t>Forest Land</w:t>
                  </w:r>
                </w:p>
              </w:tc>
              <w:tc>
                <w:tcPr>
                  <w:tcW w:w="1043" w:type="dxa"/>
                  <w:vMerge/>
                  <w:noWrap/>
                </w:tcPr>
                <w:p w14:paraId="5D7F69E6"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tcPr>
                <w:p w14:paraId="7C0E94E3"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Calibri" w:hAnsi="Times New Roman" w:cs="Times New Roman"/>
                      <w:color w:val="000000" w:themeColor="text1"/>
                      <w:sz w:val="18"/>
                      <w:szCs w:val="18"/>
                    </w:rPr>
                    <w:t xml:space="preserve">LULUCF - </w:t>
                  </w:r>
                  <w:r w:rsidRPr="00AE235C">
                    <w:rPr>
                      <w:rFonts w:ascii="Times New Roman" w:eastAsia="Times New Roman" w:hAnsi="Times New Roman" w:cs="Times New Roman"/>
                      <w:color w:val="000000" w:themeColor="text1"/>
                      <w:sz w:val="18"/>
                      <w:szCs w:val="18"/>
                      <w:lang w:eastAsia="zh-CN"/>
                    </w:rPr>
                    <w:t>Forest Land</w:t>
                  </w:r>
                </w:p>
              </w:tc>
            </w:tr>
            <w:tr w:rsidR="00F769BB" w:rsidRPr="00AE235C" w14:paraId="15E1BAF4" w14:textId="77777777" w:rsidTr="00D701AE">
              <w:trPr>
                <w:trHeight w:val="290"/>
              </w:trPr>
              <w:tc>
                <w:tcPr>
                  <w:tcW w:w="1159" w:type="dxa"/>
                  <w:noWrap/>
                </w:tcPr>
                <w:p w14:paraId="5765BEFD" w14:textId="47077929" w:rsidR="00F769BB" w:rsidRPr="00AE235C" w:rsidRDefault="00F769BB" w:rsidP="0D4FECCB">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3.D.1</w:t>
                  </w:r>
                </w:p>
              </w:tc>
              <w:tc>
                <w:tcPr>
                  <w:tcW w:w="1980" w:type="dxa"/>
                  <w:vMerge/>
                </w:tcPr>
                <w:p w14:paraId="755CCEEB" w14:textId="77777777" w:rsidR="00F769BB" w:rsidRPr="00AE235C" w:rsidRDefault="00F769BB">
                  <w:pPr>
                    <w:rPr>
                      <w:rFonts w:ascii="Times New Roman" w:hAnsi="Times New Roman" w:cs="Times New Roman"/>
                      <w:sz w:val="18"/>
                      <w:szCs w:val="18"/>
                    </w:rPr>
                  </w:pPr>
                </w:p>
              </w:tc>
              <w:tc>
                <w:tcPr>
                  <w:tcW w:w="2267" w:type="dxa"/>
                  <w:noWrap/>
                </w:tcPr>
                <w:p w14:paraId="047AF381" w14:textId="233D15BE" w:rsidR="00F769BB" w:rsidRPr="00AE235C" w:rsidRDefault="006C1E03" w:rsidP="00D92EDD">
                  <w:pPr>
                    <w:rPr>
                      <w:rFonts w:ascii="Times New Roman" w:eastAsia="Times New Roman" w:hAnsi="Times New Roman" w:cs="Times New Roman"/>
                      <w:color w:val="000000"/>
                      <w:sz w:val="18"/>
                      <w:szCs w:val="18"/>
                      <w:lang w:eastAsia="zh-CN"/>
                    </w:rPr>
                  </w:pPr>
                  <w:r w:rsidRPr="00357674">
                    <w:rPr>
                      <w:rFonts w:ascii="Times New Roman" w:eastAsia="Calibri" w:hAnsi="Times New Roman" w:cs="Times New Roman"/>
                      <w:color w:val="000000" w:themeColor="text1"/>
                      <w:sz w:val="18"/>
                      <w:szCs w:val="18"/>
                    </w:rPr>
                    <w:t xml:space="preserve">Harvested </w:t>
                  </w:r>
                  <w:r>
                    <w:rPr>
                      <w:rFonts w:ascii="Times New Roman" w:eastAsia="Calibri" w:hAnsi="Times New Roman" w:cs="Times New Roman"/>
                      <w:color w:val="000000" w:themeColor="text1"/>
                      <w:sz w:val="18"/>
                      <w:szCs w:val="18"/>
                    </w:rPr>
                    <w:t>W</w:t>
                  </w:r>
                  <w:r w:rsidRPr="00357674">
                    <w:rPr>
                      <w:rFonts w:ascii="Times New Roman" w:eastAsia="Calibri" w:hAnsi="Times New Roman" w:cs="Times New Roman"/>
                      <w:color w:val="000000" w:themeColor="text1"/>
                      <w:sz w:val="18"/>
                      <w:szCs w:val="18"/>
                    </w:rPr>
                    <w:t xml:space="preserve">ood </w:t>
                  </w:r>
                  <w:r>
                    <w:rPr>
                      <w:rFonts w:ascii="Times New Roman" w:eastAsia="Calibri" w:hAnsi="Times New Roman" w:cs="Times New Roman"/>
                      <w:color w:val="000000" w:themeColor="text1"/>
                      <w:sz w:val="18"/>
                      <w:szCs w:val="18"/>
                    </w:rPr>
                    <w:t>P</w:t>
                  </w:r>
                  <w:r w:rsidRPr="00357674">
                    <w:rPr>
                      <w:rFonts w:ascii="Times New Roman" w:eastAsia="Calibri" w:hAnsi="Times New Roman" w:cs="Times New Roman"/>
                      <w:color w:val="000000" w:themeColor="text1"/>
                      <w:sz w:val="18"/>
                      <w:szCs w:val="18"/>
                    </w:rPr>
                    <w:t>roducts</w:t>
                  </w:r>
                </w:p>
              </w:tc>
              <w:tc>
                <w:tcPr>
                  <w:tcW w:w="1043" w:type="dxa"/>
                  <w:vMerge/>
                  <w:noWrap/>
                </w:tcPr>
                <w:p w14:paraId="7BDC3F27" w14:textId="77777777" w:rsidR="00F769BB" w:rsidRPr="00AE235C" w:rsidRDefault="00F769BB" w:rsidP="00D92EDD">
                  <w:pPr>
                    <w:rPr>
                      <w:rFonts w:ascii="Times New Roman" w:eastAsia="Times New Roman" w:hAnsi="Times New Roman" w:cs="Times New Roman"/>
                      <w:color w:val="000000"/>
                      <w:sz w:val="18"/>
                      <w:szCs w:val="18"/>
                      <w:lang w:eastAsia="zh-CN"/>
                    </w:rPr>
                  </w:pPr>
                </w:p>
              </w:tc>
              <w:tc>
                <w:tcPr>
                  <w:tcW w:w="2086" w:type="dxa"/>
                  <w:noWrap/>
                </w:tcPr>
                <w:p w14:paraId="4B6FAA36" w14:textId="38C623E1" w:rsidR="00F769BB" w:rsidRPr="00AE235C" w:rsidRDefault="00357674" w:rsidP="00D92EDD">
                  <w:pPr>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rPr>
                    <w:t xml:space="preserve">LULUCF - </w:t>
                  </w:r>
                  <w:r w:rsidRPr="00357674">
                    <w:rPr>
                      <w:rFonts w:ascii="Times New Roman" w:eastAsia="Calibri" w:hAnsi="Times New Roman" w:cs="Times New Roman"/>
                      <w:color w:val="000000" w:themeColor="text1"/>
                      <w:sz w:val="18"/>
                      <w:szCs w:val="18"/>
                    </w:rPr>
                    <w:t xml:space="preserve">Harvested </w:t>
                  </w:r>
                  <w:r>
                    <w:rPr>
                      <w:rFonts w:ascii="Times New Roman" w:eastAsia="Calibri" w:hAnsi="Times New Roman" w:cs="Times New Roman"/>
                      <w:color w:val="000000" w:themeColor="text1"/>
                      <w:sz w:val="18"/>
                      <w:szCs w:val="18"/>
                    </w:rPr>
                    <w:t>W</w:t>
                  </w:r>
                  <w:r w:rsidRPr="00357674">
                    <w:rPr>
                      <w:rFonts w:ascii="Times New Roman" w:eastAsia="Calibri" w:hAnsi="Times New Roman" w:cs="Times New Roman"/>
                      <w:color w:val="000000" w:themeColor="text1"/>
                      <w:sz w:val="18"/>
                      <w:szCs w:val="18"/>
                    </w:rPr>
                    <w:t xml:space="preserve">ood </w:t>
                  </w:r>
                  <w:r>
                    <w:rPr>
                      <w:rFonts w:ascii="Times New Roman" w:eastAsia="Calibri" w:hAnsi="Times New Roman" w:cs="Times New Roman"/>
                      <w:color w:val="000000" w:themeColor="text1"/>
                      <w:sz w:val="18"/>
                      <w:szCs w:val="18"/>
                    </w:rPr>
                    <w:t>P</w:t>
                  </w:r>
                  <w:r w:rsidRPr="00357674">
                    <w:rPr>
                      <w:rFonts w:ascii="Times New Roman" w:eastAsia="Calibri" w:hAnsi="Times New Roman" w:cs="Times New Roman"/>
                      <w:color w:val="000000" w:themeColor="text1"/>
                      <w:sz w:val="18"/>
                      <w:szCs w:val="18"/>
                    </w:rPr>
                    <w:t>roducts</w:t>
                  </w:r>
                </w:p>
              </w:tc>
            </w:tr>
            <w:tr w:rsidR="00D92EDD" w:rsidRPr="00AE235C" w14:paraId="3C85FE58" w14:textId="77777777" w:rsidTr="00D701AE">
              <w:trPr>
                <w:trHeight w:val="290"/>
              </w:trPr>
              <w:tc>
                <w:tcPr>
                  <w:tcW w:w="1159" w:type="dxa"/>
                  <w:noWrap/>
                </w:tcPr>
                <w:p w14:paraId="0AE56CC1" w14:textId="4848ADC7" w:rsidR="00D92EDD" w:rsidRPr="00AE235C" w:rsidRDefault="45207F6E"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3</w:t>
                  </w:r>
                  <w:r w:rsidR="3B1CA46C" w:rsidRPr="00AE235C">
                    <w:rPr>
                      <w:rFonts w:ascii="Times New Roman" w:eastAsia="Times New Roman" w:hAnsi="Times New Roman" w:cs="Times New Roman"/>
                      <w:color w:val="000000" w:themeColor="text1"/>
                      <w:sz w:val="18"/>
                      <w:szCs w:val="18"/>
                      <w:lang w:eastAsia="zh-CN"/>
                    </w:rPr>
                    <w:t>.B</w:t>
                  </w:r>
                </w:p>
              </w:tc>
              <w:tc>
                <w:tcPr>
                  <w:tcW w:w="1980" w:type="dxa"/>
                  <w:vMerge/>
                </w:tcPr>
                <w:p w14:paraId="7F22E9E2" w14:textId="77777777" w:rsidR="00491569" w:rsidRPr="00AE235C" w:rsidRDefault="00491569">
                  <w:pPr>
                    <w:rPr>
                      <w:rFonts w:ascii="Times New Roman" w:hAnsi="Times New Roman" w:cs="Times New Roman"/>
                      <w:sz w:val="18"/>
                      <w:szCs w:val="18"/>
                    </w:rPr>
                  </w:pPr>
                </w:p>
              </w:tc>
              <w:tc>
                <w:tcPr>
                  <w:tcW w:w="2267" w:type="dxa"/>
                  <w:noWrap/>
                </w:tcPr>
                <w:p w14:paraId="1E89D5F9"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Organic Soils</w:t>
                  </w:r>
                </w:p>
              </w:tc>
              <w:tc>
                <w:tcPr>
                  <w:tcW w:w="1043" w:type="dxa"/>
                  <w:vMerge/>
                  <w:noWrap/>
                </w:tcPr>
                <w:p w14:paraId="28E26B3A"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tcPr>
                <w:p w14:paraId="11386BA3" w14:textId="0669BFF8"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Calibri" w:hAnsi="Times New Roman" w:cs="Times New Roman"/>
                      <w:color w:val="000000" w:themeColor="text1"/>
                      <w:sz w:val="18"/>
                      <w:szCs w:val="18"/>
                    </w:rPr>
                    <w:t xml:space="preserve">LULUCF - </w:t>
                  </w:r>
                  <w:r w:rsidRPr="00AE235C">
                    <w:rPr>
                      <w:rFonts w:ascii="Times New Roman" w:eastAsia="Times New Roman" w:hAnsi="Times New Roman" w:cs="Times New Roman"/>
                      <w:color w:val="000000" w:themeColor="text1"/>
                      <w:sz w:val="18"/>
                      <w:szCs w:val="18"/>
                      <w:lang w:eastAsia="zh-CN"/>
                    </w:rPr>
                    <w:t xml:space="preserve">Organic </w:t>
                  </w:r>
                  <w:r w:rsidR="1207CB85" w:rsidRPr="00AE235C">
                    <w:rPr>
                      <w:rFonts w:ascii="Times New Roman" w:eastAsia="Times New Roman" w:hAnsi="Times New Roman" w:cs="Times New Roman"/>
                      <w:color w:val="000000" w:themeColor="text1"/>
                      <w:sz w:val="18"/>
                      <w:szCs w:val="18"/>
                      <w:lang w:eastAsia="zh-CN"/>
                    </w:rPr>
                    <w:t>Soil</w:t>
                  </w:r>
                </w:p>
              </w:tc>
            </w:tr>
            <w:tr w:rsidR="00D92EDD" w:rsidRPr="00AE235C" w14:paraId="5F935D71" w14:textId="77777777" w:rsidTr="00D701AE">
              <w:trPr>
                <w:trHeight w:val="290"/>
              </w:trPr>
              <w:tc>
                <w:tcPr>
                  <w:tcW w:w="1159" w:type="dxa"/>
                  <w:noWrap/>
                </w:tcPr>
                <w:p w14:paraId="61D8C906" w14:textId="42792A06" w:rsidR="00D92EDD" w:rsidRPr="00AE235C" w:rsidRDefault="7E154C9A"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3.B.2</w:t>
                  </w:r>
                </w:p>
                <w:p w14:paraId="12365EBB" w14:textId="5C2AFB0F" w:rsidR="00D92EDD" w:rsidRPr="00AE235C" w:rsidRDefault="7E154C9A"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3.B.3</w:t>
                  </w:r>
                </w:p>
                <w:p w14:paraId="3A8919D3" w14:textId="6B7D8C73" w:rsidR="00D92EDD" w:rsidRPr="00AE235C" w:rsidRDefault="7E154C9A"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3.B.4</w:t>
                  </w:r>
                </w:p>
                <w:p w14:paraId="1C0C3E2D" w14:textId="61CF7C62" w:rsidR="00D92EDD" w:rsidRPr="00AE235C" w:rsidRDefault="7E154C9A" w:rsidP="2FCB26E2">
                  <w:pPr>
                    <w:rPr>
                      <w:rFonts w:ascii="Times New Roman" w:eastAsia="Times New Roman" w:hAnsi="Times New Roman" w:cs="Times New Roman"/>
                      <w:color w:val="000000" w:themeColor="text1"/>
                      <w:sz w:val="18"/>
                      <w:szCs w:val="18"/>
                      <w:lang w:eastAsia="zh-CN"/>
                    </w:rPr>
                  </w:pPr>
                  <w:r w:rsidRPr="00AE235C">
                    <w:rPr>
                      <w:rFonts w:ascii="Times New Roman" w:eastAsia="Times New Roman" w:hAnsi="Times New Roman" w:cs="Times New Roman"/>
                      <w:color w:val="000000" w:themeColor="text1"/>
                      <w:sz w:val="18"/>
                      <w:szCs w:val="18"/>
                      <w:lang w:eastAsia="zh-CN"/>
                    </w:rPr>
                    <w:t>3.B.5</w:t>
                  </w:r>
                </w:p>
                <w:p w14:paraId="7B7B3D4C" w14:textId="7DE0CE62" w:rsidR="00D92EDD" w:rsidRPr="00AE235C" w:rsidRDefault="7E154C9A"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3.B.6</w:t>
                  </w:r>
                </w:p>
              </w:tc>
              <w:tc>
                <w:tcPr>
                  <w:tcW w:w="1980" w:type="dxa"/>
                  <w:vMerge/>
                </w:tcPr>
                <w:p w14:paraId="53DE84A4" w14:textId="77777777" w:rsidR="00491569" w:rsidRPr="00AE235C" w:rsidRDefault="00491569">
                  <w:pPr>
                    <w:rPr>
                      <w:rFonts w:ascii="Times New Roman" w:hAnsi="Times New Roman" w:cs="Times New Roman"/>
                      <w:sz w:val="18"/>
                      <w:szCs w:val="18"/>
                    </w:rPr>
                  </w:pPr>
                </w:p>
              </w:tc>
              <w:tc>
                <w:tcPr>
                  <w:tcW w:w="2267" w:type="dxa"/>
                  <w:noWrap/>
                </w:tcPr>
                <w:p w14:paraId="41EB89D1" w14:textId="6CDC3A4C" w:rsidR="00D92EDD" w:rsidRPr="00AE235C" w:rsidRDefault="4D1D0D2C" w:rsidP="00D92EDD">
                  <w:pPr>
                    <w:rPr>
                      <w:rFonts w:ascii="Times New Roman" w:eastAsia="Times New Roman" w:hAnsi="Times New Roman" w:cs="Times New Roman"/>
                      <w:color w:val="000000"/>
                      <w:sz w:val="18"/>
                      <w:szCs w:val="18"/>
                      <w:lang w:eastAsia="zh-CN"/>
                    </w:rPr>
                  </w:pPr>
                  <w:r w:rsidRPr="00AE235C">
                    <w:rPr>
                      <w:rFonts w:ascii="Times New Roman" w:eastAsia="Times New Roman" w:hAnsi="Times New Roman" w:cs="Times New Roman"/>
                      <w:color w:val="000000" w:themeColor="text1"/>
                      <w:sz w:val="18"/>
                      <w:szCs w:val="18"/>
                      <w:lang w:eastAsia="zh-CN"/>
                    </w:rPr>
                    <w:t>Other Land Uses</w:t>
                  </w:r>
                  <w:r w:rsidR="2D8B99CC" w:rsidRPr="00AE235C">
                    <w:rPr>
                      <w:rFonts w:ascii="Times New Roman" w:eastAsia="Times New Roman" w:hAnsi="Times New Roman" w:cs="Times New Roman"/>
                      <w:color w:val="000000" w:themeColor="text1"/>
                      <w:sz w:val="18"/>
                      <w:szCs w:val="18"/>
                      <w:lang w:eastAsia="zh-CN"/>
                    </w:rPr>
                    <w:t xml:space="preserve"> (</w:t>
                  </w:r>
                  <w:r w:rsidR="43852886" w:rsidRPr="00AE235C">
                    <w:rPr>
                      <w:rFonts w:ascii="Times New Roman" w:eastAsia="Times New Roman" w:hAnsi="Times New Roman" w:cs="Times New Roman"/>
                      <w:color w:val="000000" w:themeColor="text1"/>
                      <w:sz w:val="18"/>
                      <w:szCs w:val="18"/>
                      <w:lang w:eastAsia="zh-CN"/>
                    </w:rPr>
                    <w:t xml:space="preserve">including cropland, </w:t>
                  </w:r>
                  <w:r w:rsidR="00DE65F4" w:rsidRPr="00AE235C">
                    <w:rPr>
                      <w:rFonts w:ascii="Times New Roman" w:eastAsia="Times New Roman" w:hAnsi="Times New Roman" w:cs="Times New Roman"/>
                      <w:color w:val="000000" w:themeColor="text1"/>
                      <w:sz w:val="18"/>
                      <w:szCs w:val="18"/>
                      <w:lang w:eastAsia="zh-CN"/>
                    </w:rPr>
                    <w:t>g</w:t>
                  </w:r>
                  <w:r w:rsidR="43852886" w:rsidRPr="00AE235C">
                    <w:rPr>
                      <w:rFonts w:ascii="Times New Roman" w:eastAsia="Times New Roman" w:hAnsi="Times New Roman" w:cs="Times New Roman"/>
                      <w:color w:val="000000" w:themeColor="text1"/>
                      <w:sz w:val="18"/>
                      <w:szCs w:val="18"/>
                      <w:lang w:eastAsia="zh-CN"/>
                    </w:rPr>
                    <w:t>rassland, wetland, settlement, and other land</w:t>
                  </w:r>
                  <w:r w:rsidR="2D8B99CC" w:rsidRPr="00AE235C">
                    <w:rPr>
                      <w:rFonts w:ascii="Times New Roman" w:eastAsia="Times New Roman" w:hAnsi="Times New Roman" w:cs="Times New Roman"/>
                      <w:color w:val="000000" w:themeColor="text1"/>
                      <w:sz w:val="18"/>
                      <w:szCs w:val="18"/>
                      <w:lang w:eastAsia="zh-CN"/>
                    </w:rPr>
                    <w:t>)</w:t>
                  </w:r>
                </w:p>
              </w:tc>
              <w:tc>
                <w:tcPr>
                  <w:tcW w:w="1043" w:type="dxa"/>
                  <w:vMerge/>
                  <w:noWrap/>
                </w:tcPr>
                <w:p w14:paraId="0412DE7C" w14:textId="77777777" w:rsidR="00D92EDD" w:rsidRPr="00AE235C" w:rsidRDefault="00D92EDD" w:rsidP="00D92EDD">
                  <w:pPr>
                    <w:rPr>
                      <w:rFonts w:ascii="Times New Roman" w:eastAsia="Times New Roman" w:hAnsi="Times New Roman" w:cs="Times New Roman"/>
                      <w:color w:val="000000"/>
                      <w:sz w:val="18"/>
                      <w:szCs w:val="18"/>
                      <w:lang w:eastAsia="zh-CN"/>
                    </w:rPr>
                  </w:pPr>
                </w:p>
              </w:tc>
              <w:tc>
                <w:tcPr>
                  <w:tcW w:w="2086" w:type="dxa"/>
                  <w:noWrap/>
                </w:tcPr>
                <w:p w14:paraId="62EE006E" w14:textId="77777777" w:rsidR="00D92EDD" w:rsidRPr="00AE235C" w:rsidRDefault="00D92EDD" w:rsidP="00D92EDD">
                  <w:pPr>
                    <w:rPr>
                      <w:rFonts w:ascii="Times New Roman" w:eastAsia="Times New Roman" w:hAnsi="Times New Roman" w:cs="Times New Roman"/>
                      <w:color w:val="000000"/>
                      <w:sz w:val="18"/>
                      <w:szCs w:val="18"/>
                      <w:lang w:eastAsia="zh-CN"/>
                    </w:rPr>
                  </w:pPr>
                  <w:r w:rsidRPr="00AE235C">
                    <w:rPr>
                      <w:rFonts w:ascii="Times New Roman" w:eastAsia="Calibri" w:hAnsi="Times New Roman" w:cs="Times New Roman"/>
                      <w:color w:val="000000" w:themeColor="text1"/>
                      <w:sz w:val="18"/>
                      <w:szCs w:val="18"/>
                    </w:rPr>
                    <w:t xml:space="preserve">LULUCF - </w:t>
                  </w:r>
                  <w:r w:rsidRPr="00AE235C">
                    <w:rPr>
                      <w:rFonts w:ascii="Times New Roman" w:eastAsia="Times New Roman" w:hAnsi="Times New Roman" w:cs="Times New Roman"/>
                      <w:color w:val="000000" w:themeColor="text1"/>
                      <w:sz w:val="18"/>
                      <w:szCs w:val="18"/>
                      <w:lang w:eastAsia="zh-CN"/>
                    </w:rPr>
                    <w:t xml:space="preserve">Other Land </w:t>
                  </w:r>
                </w:p>
              </w:tc>
            </w:tr>
          </w:tbl>
          <w:p w14:paraId="5AD27E58" w14:textId="189B591C" w:rsidR="008165C9" w:rsidRPr="001B62EB" w:rsidRDefault="008165C9" w:rsidP="001B62EB">
            <w:pPr>
              <w:spacing w:after="0" w:line="240" w:lineRule="auto"/>
              <w:ind w:right="75"/>
              <w:textAlignment w:val="baseline"/>
              <w:rPr>
                <w:rFonts w:ascii="Times New Roman" w:eastAsia="Times New Roman" w:hAnsi="Times New Roman" w:cs="Times New Roman"/>
                <w:sz w:val="20"/>
                <w:szCs w:val="20"/>
              </w:rPr>
            </w:pPr>
          </w:p>
        </w:tc>
      </w:tr>
    </w:tbl>
    <w:p w14:paraId="36BD693F" w14:textId="595564BA" w:rsidR="002251A4" w:rsidRDefault="002251A4" w:rsidP="0008113F">
      <w:pPr>
        <w:spacing w:after="0" w:line="240" w:lineRule="auto"/>
        <w:textAlignment w:val="baseline"/>
        <w:rPr>
          <w:rFonts w:ascii="Times New Roman" w:eastAsia="Times New Roman" w:hAnsi="Times New Roman" w:cs="Times New Roman"/>
          <w:sz w:val="20"/>
          <w:szCs w:val="20"/>
        </w:rPr>
      </w:pPr>
    </w:p>
    <w:p w14:paraId="6C5CA996" w14:textId="77777777" w:rsidR="00807BAA" w:rsidRDefault="00807BAA" w:rsidP="00807BAA">
      <w:pPr>
        <w:pStyle w:val="Heading1"/>
      </w:pPr>
      <w:r>
        <w:t>R</w:t>
      </w:r>
      <w:r w:rsidRPr="00C4687C">
        <w:t>eferences</w:t>
      </w:r>
    </w:p>
    <w:p w14:paraId="39E2D92D"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Crippa, M., Guizzardi, D., Pagani, F., Banja, M., Muntean, M., Schaaf E., Becker, W., </w:t>
      </w:r>
      <w:proofErr w:type="spellStart"/>
      <w:r w:rsidRPr="00F96F0F">
        <w:rPr>
          <w:rFonts w:ascii="Times New Roman" w:hAnsi="Times New Roman" w:cs="Times New Roman"/>
          <w:sz w:val="18"/>
          <w:szCs w:val="18"/>
        </w:rPr>
        <w:t>Monforti</w:t>
      </w:r>
      <w:proofErr w:type="spellEnd"/>
      <w:r w:rsidRPr="00F96F0F">
        <w:rPr>
          <w:rFonts w:ascii="Times New Roman" w:hAnsi="Times New Roman" w:cs="Times New Roman"/>
          <w:sz w:val="18"/>
          <w:szCs w:val="18"/>
        </w:rPr>
        <w:t xml:space="preserve">-Ferrario, F., </w:t>
      </w:r>
      <w:proofErr w:type="spellStart"/>
      <w:r w:rsidRPr="00F96F0F">
        <w:rPr>
          <w:rFonts w:ascii="Times New Roman" w:hAnsi="Times New Roman" w:cs="Times New Roman"/>
          <w:sz w:val="18"/>
          <w:szCs w:val="18"/>
        </w:rPr>
        <w:t>Quadrelli</w:t>
      </w:r>
      <w:proofErr w:type="spellEnd"/>
      <w:r w:rsidRPr="00F96F0F">
        <w:rPr>
          <w:rFonts w:ascii="Times New Roman" w:hAnsi="Times New Roman" w:cs="Times New Roman"/>
          <w:sz w:val="18"/>
          <w:szCs w:val="18"/>
        </w:rPr>
        <w:t xml:space="preserve">, R., </w:t>
      </w:r>
      <w:proofErr w:type="spellStart"/>
      <w:r w:rsidRPr="00F96F0F">
        <w:rPr>
          <w:rFonts w:ascii="Times New Roman" w:hAnsi="Times New Roman" w:cs="Times New Roman"/>
          <w:sz w:val="18"/>
          <w:szCs w:val="18"/>
        </w:rPr>
        <w:t>Risquez</w:t>
      </w:r>
      <w:proofErr w:type="spellEnd"/>
      <w:r w:rsidRPr="00F96F0F">
        <w:rPr>
          <w:rFonts w:ascii="Times New Roman" w:hAnsi="Times New Roman" w:cs="Times New Roman"/>
          <w:sz w:val="18"/>
          <w:szCs w:val="18"/>
        </w:rPr>
        <w:t xml:space="preserve"> Martin, A., Taghavi-</w:t>
      </w:r>
      <w:proofErr w:type="spellStart"/>
      <w:r w:rsidRPr="00F96F0F">
        <w:rPr>
          <w:rFonts w:ascii="Times New Roman" w:hAnsi="Times New Roman" w:cs="Times New Roman"/>
          <w:sz w:val="18"/>
          <w:szCs w:val="18"/>
        </w:rPr>
        <w:t>Moharamli</w:t>
      </w:r>
      <w:proofErr w:type="spellEnd"/>
      <w:r w:rsidRPr="00F96F0F">
        <w:rPr>
          <w:rFonts w:ascii="Times New Roman" w:hAnsi="Times New Roman" w:cs="Times New Roman"/>
          <w:sz w:val="18"/>
          <w:szCs w:val="18"/>
        </w:rPr>
        <w:t xml:space="preserve">, P., </w:t>
      </w:r>
      <w:proofErr w:type="spellStart"/>
      <w:r w:rsidRPr="00F96F0F">
        <w:rPr>
          <w:rFonts w:ascii="Times New Roman" w:hAnsi="Times New Roman" w:cs="Times New Roman"/>
          <w:sz w:val="18"/>
          <w:szCs w:val="18"/>
        </w:rPr>
        <w:t>Köykkä</w:t>
      </w:r>
      <w:proofErr w:type="spellEnd"/>
      <w:r w:rsidRPr="00F96F0F">
        <w:rPr>
          <w:rFonts w:ascii="Times New Roman" w:hAnsi="Times New Roman" w:cs="Times New Roman"/>
          <w:sz w:val="18"/>
          <w:szCs w:val="18"/>
        </w:rPr>
        <w:t>, J., Grassi, G., Rossi, S., Brandao De Melo, J., Oom, D., Branco, A., San-Miguel, J., Vignati, E., GHG emissions of all world countries, Publications Office of the European Union, Luxembourg, doi:10.2760/953332, JRC134504, 2023.</w:t>
      </w:r>
    </w:p>
    <w:p w14:paraId="4EB26C96"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Crippa, M., Guizzardi, D., Butler, T., Keating, T., Wu, R., Kaminski, J., Kuenen, J., Kurokawa, J., et al., TheHTAP_v3 emission mosaic: merging regional and global monthly emissions (2000–2018) to support air quality modelling and policies. Earth System Science Data 15 (6) 2667-2694, 2023, 10.5194/essd-15-2667-2023, 2023</w:t>
      </w:r>
    </w:p>
    <w:p w14:paraId="2DFC9D25"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EDGAR (Emissions Database for Global Atmospheric Research) Community GHG Database (a collaboration between the European Commission, Joint Research Centre (JRC), the International Energy Agency (IEA), and comprising IEA-EDGAR CO2, EDGAR CH4, EDGAR N2O, EDGAR F-GASES version 8.0, (2023) European Commission, https://edgar.jrc.ec.europa.eu/dataset_ghg80, last access February 2024.</w:t>
      </w:r>
    </w:p>
    <w:p w14:paraId="76A2F505" w14:textId="2B2B6AFC" w:rsidR="00A569B9" w:rsidRPr="00F96F0F" w:rsidRDefault="00A569B9" w:rsidP="0046126D">
      <w:pPr>
        <w:rPr>
          <w:rFonts w:ascii="Times New Roman" w:hAnsi="Times New Roman" w:cs="Times New Roman"/>
          <w:sz w:val="18"/>
          <w:szCs w:val="18"/>
        </w:rPr>
      </w:pPr>
      <w:r w:rsidRPr="00F96F0F">
        <w:rPr>
          <w:rFonts w:ascii="Times New Roman" w:hAnsi="Times New Roman" w:cs="Times New Roman"/>
          <w:sz w:val="18"/>
          <w:szCs w:val="18"/>
        </w:rPr>
        <w:t>Gidden, M</w:t>
      </w:r>
      <w:r w:rsidR="00A369BB" w:rsidRPr="00F96F0F">
        <w:rPr>
          <w:rFonts w:ascii="Times New Roman" w:hAnsi="Times New Roman" w:cs="Times New Roman"/>
          <w:sz w:val="18"/>
          <w:szCs w:val="18"/>
        </w:rPr>
        <w:t>.,</w:t>
      </w:r>
      <w:r w:rsidR="00F26CD5" w:rsidRPr="00F96F0F">
        <w:rPr>
          <w:rFonts w:ascii="Times New Roman" w:hAnsi="Times New Roman" w:cs="Times New Roman"/>
          <w:sz w:val="18"/>
          <w:szCs w:val="18"/>
        </w:rPr>
        <w:t xml:space="preserve"> </w:t>
      </w:r>
      <w:r w:rsidR="0018408C" w:rsidRPr="00F96F0F">
        <w:rPr>
          <w:rFonts w:ascii="Times New Roman" w:hAnsi="Times New Roman" w:cs="Times New Roman"/>
          <w:sz w:val="18"/>
          <w:szCs w:val="18"/>
        </w:rPr>
        <w:t xml:space="preserve">Gasser, T., Grassi, G., Forsell, N., </w:t>
      </w:r>
      <w:r w:rsidR="007A67B9" w:rsidRPr="00F96F0F">
        <w:rPr>
          <w:rFonts w:ascii="Times New Roman" w:hAnsi="Times New Roman" w:cs="Times New Roman"/>
          <w:sz w:val="18"/>
          <w:szCs w:val="18"/>
        </w:rPr>
        <w:t>Janssens, I., Lamb, W., Min, J., Nicholls, Z., Steinhauser, J. Riahi, K.</w:t>
      </w:r>
      <w:r w:rsidR="00936D24" w:rsidRPr="00F96F0F">
        <w:rPr>
          <w:rFonts w:ascii="Times New Roman" w:hAnsi="Times New Roman" w:cs="Times New Roman"/>
          <w:sz w:val="18"/>
          <w:szCs w:val="18"/>
        </w:rPr>
        <w:t xml:space="preserve">: Aligning climate scenarios to emissions inventories shifts global benchmarks, </w:t>
      </w:r>
      <w:r w:rsidR="00110048" w:rsidRPr="00F96F0F">
        <w:rPr>
          <w:rFonts w:ascii="Times New Roman" w:hAnsi="Times New Roman" w:cs="Times New Roman"/>
          <w:sz w:val="18"/>
          <w:szCs w:val="18"/>
        </w:rPr>
        <w:t>Natur</w:t>
      </w:r>
      <w:r w:rsidR="0009191D" w:rsidRPr="00F96F0F">
        <w:rPr>
          <w:rFonts w:ascii="Times New Roman" w:hAnsi="Times New Roman" w:cs="Times New Roman"/>
          <w:sz w:val="18"/>
          <w:szCs w:val="18"/>
        </w:rPr>
        <w:t xml:space="preserve">e, Vol 624, </w:t>
      </w:r>
      <w:r w:rsidR="000C1BA0" w:rsidRPr="00F96F0F">
        <w:rPr>
          <w:rFonts w:ascii="Times New Roman" w:hAnsi="Times New Roman" w:cs="Times New Roman"/>
          <w:sz w:val="18"/>
          <w:szCs w:val="18"/>
        </w:rPr>
        <w:t>102-</w:t>
      </w:r>
      <w:r w:rsidR="008C0DE9" w:rsidRPr="00F96F0F">
        <w:rPr>
          <w:rFonts w:ascii="Times New Roman" w:hAnsi="Times New Roman" w:cs="Times New Roman"/>
          <w:sz w:val="18"/>
          <w:szCs w:val="18"/>
        </w:rPr>
        <w:t>108</w:t>
      </w:r>
      <w:r w:rsidR="00D26562" w:rsidRPr="00F96F0F">
        <w:rPr>
          <w:rFonts w:ascii="Times New Roman" w:hAnsi="Times New Roman" w:cs="Times New Roman"/>
          <w:sz w:val="18"/>
          <w:szCs w:val="18"/>
        </w:rPr>
        <w:t>, 2023.</w:t>
      </w:r>
    </w:p>
    <w:p w14:paraId="4F25686F"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Grassi, G., House, J., Kurz, W. A., </w:t>
      </w:r>
      <w:proofErr w:type="spellStart"/>
      <w:r w:rsidRPr="00F96F0F">
        <w:rPr>
          <w:rFonts w:ascii="Times New Roman" w:hAnsi="Times New Roman" w:cs="Times New Roman"/>
          <w:sz w:val="18"/>
          <w:szCs w:val="18"/>
        </w:rPr>
        <w:t>Cescatti</w:t>
      </w:r>
      <w:proofErr w:type="spellEnd"/>
      <w:r w:rsidRPr="00F96F0F">
        <w:rPr>
          <w:rFonts w:ascii="Times New Roman" w:hAnsi="Times New Roman" w:cs="Times New Roman"/>
          <w:sz w:val="18"/>
          <w:szCs w:val="18"/>
        </w:rPr>
        <w:t xml:space="preserve">, A., Houghton, R. A., Peters, G. P., Sanz, M. J., Viñas, R. A., </w:t>
      </w:r>
      <w:proofErr w:type="spellStart"/>
      <w:r w:rsidRPr="00F96F0F">
        <w:rPr>
          <w:rFonts w:ascii="Times New Roman" w:hAnsi="Times New Roman" w:cs="Times New Roman"/>
          <w:sz w:val="18"/>
          <w:szCs w:val="18"/>
        </w:rPr>
        <w:t>Alkama</w:t>
      </w:r>
      <w:proofErr w:type="spellEnd"/>
      <w:r w:rsidRPr="00F96F0F">
        <w:rPr>
          <w:rFonts w:ascii="Times New Roman" w:hAnsi="Times New Roman" w:cs="Times New Roman"/>
          <w:sz w:val="18"/>
          <w:szCs w:val="18"/>
        </w:rPr>
        <w:t xml:space="preserve">, R., Arneth, A., </w:t>
      </w:r>
      <w:proofErr w:type="spellStart"/>
      <w:r w:rsidRPr="00F96F0F">
        <w:rPr>
          <w:rFonts w:ascii="Times New Roman" w:hAnsi="Times New Roman" w:cs="Times New Roman"/>
          <w:sz w:val="18"/>
          <w:szCs w:val="18"/>
        </w:rPr>
        <w:t>Bondeau</w:t>
      </w:r>
      <w:proofErr w:type="spellEnd"/>
      <w:r w:rsidRPr="00F96F0F">
        <w:rPr>
          <w:rFonts w:ascii="Times New Roman" w:hAnsi="Times New Roman" w:cs="Times New Roman"/>
          <w:sz w:val="18"/>
          <w:szCs w:val="18"/>
        </w:rPr>
        <w:t xml:space="preserve">, A., </w:t>
      </w:r>
      <w:proofErr w:type="spellStart"/>
      <w:r w:rsidRPr="00F96F0F">
        <w:rPr>
          <w:rFonts w:ascii="Times New Roman" w:hAnsi="Times New Roman" w:cs="Times New Roman"/>
          <w:sz w:val="18"/>
          <w:szCs w:val="18"/>
        </w:rPr>
        <w:t>Dentener</w:t>
      </w:r>
      <w:proofErr w:type="spellEnd"/>
      <w:r w:rsidRPr="00F96F0F">
        <w:rPr>
          <w:rFonts w:ascii="Times New Roman" w:hAnsi="Times New Roman" w:cs="Times New Roman"/>
          <w:sz w:val="18"/>
          <w:szCs w:val="18"/>
        </w:rPr>
        <w:t xml:space="preserve">, F., Fader, M., Federici, S., </w:t>
      </w:r>
      <w:proofErr w:type="spellStart"/>
      <w:r w:rsidRPr="00F96F0F">
        <w:rPr>
          <w:rFonts w:ascii="Times New Roman" w:hAnsi="Times New Roman" w:cs="Times New Roman"/>
          <w:sz w:val="18"/>
          <w:szCs w:val="18"/>
        </w:rPr>
        <w:t>Friedlingstein</w:t>
      </w:r>
      <w:proofErr w:type="spellEnd"/>
      <w:r w:rsidRPr="00F96F0F">
        <w:rPr>
          <w:rFonts w:ascii="Times New Roman" w:hAnsi="Times New Roman" w:cs="Times New Roman"/>
          <w:sz w:val="18"/>
          <w:szCs w:val="18"/>
        </w:rPr>
        <w:t xml:space="preserve">, P., Jain, A. K., Kato, E., Koven, C. D., Lee, D., Nabel, J. E. M. S., </w:t>
      </w:r>
      <w:proofErr w:type="spellStart"/>
      <w:r w:rsidRPr="00F96F0F">
        <w:rPr>
          <w:rFonts w:ascii="Times New Roman" w:hAnsi="Times New Roman" w:cs="Times New Roman"/>
          <w:sz w:val="18"/>
          <w:szCs w:val="18"/>
        </w:rPr>
        <w:t>Nassikas</w:t>
      </w:r>
      <w:proofErr w:type="spellEnd"/>
      <w:r w:rsidRPr="00F96F0F">
        <w:rPr>
          <w:rFonts w:ascii="Times New Roman" w:hAnsi="Times New Roman" w:cs="Times New Roman"/>
          <w:sz w:val="18"/>
          <w:szCs w:val="18"/>
        </w:rPr>
        <w:t xml:space="preserve">, A. A., Perugini, L., Rossi, S., Sitch, S., </w:t>
      </w:r>
      <w:proofErr w:type="spellStart"/>
      <w:r w:rsidRPr="00F96F0F">
        <w:rPr>
          <w:rFonts w:ascii="Times New Roman" w:hAnsi="Times New Roman" w:cs="Times New Roman"/>
          <w:sz w:val="18"/>
          <w:szCs w:val="18"/>
        </w:rPr>
        <w:t>Viovy</w:t>
      </w:r>
      <w:proofErr w:type="spellEnd"/>
      <w:r w:rsidRPr="00F96F0F">
        <w:rPr>
          <w:rFonts w:ascii="Times New Roman" w:hAnsi="Times New Roman" w:cs="Times New Roman"/>
          <w:sz w:val="18"/>
          <w:szCs w:val="18"/>
        </w:rPr>
        <w:t xml:space="preserve">, N., Wiltshire, A., and </w:t>
      </w:r>
      <w:proofErr w:type="spellStart"/>
      <w:r w:rsidRPr="00F96F0F">
        <w:rPr>
          <w:rFonts w:ascii="Times New Roman" w:hAnsi="Times New Roman" w:cs="Times New Roman"/>
          <w:sz w:val="18"/>
          <w:szCs w:val="18"/>
        </w:rPr>
        <w:t>Zaehle</w:t>
      </w:r>
      <w:proofErr w:type="spellEnd"/>
      <w:r w:rsidRPr="00F96F0F">
        <w:rPr>
          <w:rFonts w:ascii="Times New Roman" w:hAnsi="Times New Roman" w:cs="Times New Roman"/>
          <w:sz w:val="18"/>
          <w:szCs w:val="18"/>
        </w:rPr>
        <w:t>, S.: Reconciling global-model estimates and country reporting of anthropogenic forest CO2 sinks, Nat. Clim. Change, 8, 914–920, https://doi.org/10.1038/s41558-018-0283-x, 2018. </w:t>
      </w:r>
    </w:p>
    <w:p w14:paraId="69245BEA"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Grassi, G., </w:t>
      </w:r>
      <w:proofErr w:type="spellStart"/>
      <w:r w:rsidRPr="00F96F0F">
        <w:rPr>
          <w:rFonts w:ascii="Times New Roman" w:hAnsi="Times New Roman" w:cs="Times New Roman"/>
          <w:sz w:val="18"/>
          <w:szCs w:val="18"/>
        </w:rPr>
        <w:t>Conchedda</w:t>
      </w:r>
      <w:proofErr w:type="spellEnd"/>
      <w:r w:rsidRPr="00F96F0F">
        <w:rPr>
          <w:rFonts w:ascii="Times New Roman" w:hAnsi="Times New Roman" w:cs="Times New Roman"/>
          <w:sz w:val="18"/>
          <w:szCs w:val="18"/>
        </w:rPr>
        <w:t xml:space="preserve">, G., Federici, S., Abad Viñas, R., </w:t>
      </w:r>
      <w:proofErr w:type="spellStart"/>
      <w:r w:rsidRPr="00F96F0F">
        <w:rPr>
          <w:rFonts w:ascii="Times New Roman" w:hAnsi="Times New Roman" w:cs="Times New Roman"/>
          <w:sz w:val="18"/>
          <w:szCs w:val="18"/>
        </w:rPr>
        <w:t>Korosuo</w:t>
      </w:r>
      <w:proofErr w:type="spellEnd"/>
      <w:r w:rsidRPr="00F96F0F">
        <w:rPr>
          <w:rFonts w:ascii="Times New Roman" w:hAnsi="Times New Roman" w:cs="Times New Roman"/>
          <w:sz w:val="18"/>
          <w:szCs w:val="18"/>
        </w:rPr>
        <w:t xml:space="preserve">, A., Melo, J., Rossi, S., Sandker, M., Somogyi, Z., and </w:t>
      </w:r>
      <w:proofErr w:type="spellStart"/>
      <w:r w:rsidRPr="00F96F0F">
        <w:rPr>
          <w:rFonts w:ascii="Times New Roman" w:hAnsi="Times New Roman" w:cs="Times New Roman"/>
          <w:sz w:val="18"/>
          <w:szCs w:val="18"/>
        </w:rPr>
        <w:t>Tubiello</w:t>
      </w:r>
      <w:proofErr w:type="spellEnd"/>
      <w:r w:rsidRPr="00F96F0F">
        <w:rPr>
          <w:rFonts w:ascii="Times New Roman" w:hAnsi="Times New Roman" w:cs="Times New Roman"/>
          <w:sz w:val="18"/>
          <w:szCs w:val="18"/>
        </w:rPr>
        <w:t>, F. N.: Carbon fluxes from land 2000–2020: bringing clarity on countries’ reporting, Earth Syst. Sci. Data, 14, 4643–4666, doi:10.5194/essd-14-4643-2022, 2022.</w:t>
      </w:r>
    </w:p>
    <w:p w14:paraId="32E707EF"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Grassi, G., </w:t>
      </w:r>
      <w:proofErr w:type="spellStart"/>
      <w:r w:rsidRPr="00F96F0F">
        <w:rPr>
          <w:rFonts w:ascii="Times New Roman" w:hAnsi="Times New Roman" w:cs="Times New Roman"/>
          <w:sz w:val="18"/>
          <w:szCs w:val="18"/>
        </w:rPr>
        <w:t>Schwingshackl</w:t>
      </w:r>
      <w:proofErr w:type="spellEnd"/>
      <w:r w:rsidRPr="00F96F0F">
        <w:rPr>
          <w:rFonts w:ascii="Times New Roman" w:hAnsi="Times New Roman" w:cs="Times New Roman"/>
          <w:sz w:val="18"/>
          <w:szCs w:val="18"/>
        </w:rPr>
        <w:t xml:space="preserve">, C., Gasser, T., Houghton, R., Sitch, S., </w:t>
      </w:r>
      <w:proofErr w:type="spellStart"/>
      <w:r w:rsidRPr="00F96F0F">
        <w:rPr>
          <w:rFonts w:ascii="Times New Roman" w:hAnsi="Times New Roman" w:cs="Times New Roman"/>
          <w:sz w:val="18"/>
          <w:szCs w:val="18"/>
        </w:rPr>
        <w:t>Canadell</w:t>
      </w:r>
      <w:proofErr w:type="spellEnd"/>
      <w:r w:rsidRPr="00F96F0F">
        <w:rPr>
          <w:rFonts w:ascii="Times New Roman" w:hAnsi="Times New Roman" w:cs="Times New Roman"/>
          <w:sz w:val="18"/>
          <w:szCs w:val="18"/>
        </w:rPr>
        <w:t xml:space="preserve">, J., </w:t>
      </w:r>
      <w:proofErr w:type="spellStart"/>
      <w:r w:rsidRPr="00F96F0F">
        <w:rPr>
          <w:rFonts w:ascii="Times New Roman" w:hAnsi="Times New Roman" w:cs="Times New Roman"/>
          <w:sz w:val="18"/>
          <w:szCs w:val="18"/>
        </w:rPr>
        <w:t>Cescatti</w:t>
      </w:r>
      <w:proofErr w:type="spellEnd"/>
      <w:r w:rsidRPr="00F96F0F">
        <w:rPr>
          <w:rFonts w:ascii="Times New Roman" w:hAnsi="Times New Roman" w:cs="Times New Roman"/>
          <w:sz w:val="18"/>
          <w:szCs w:val="18"/>
        </w:rPr>
        <w:t xml:space="preserve">, A., Ciais, P., Federici, S., </w:t>
      </w:r>
      <w:proofErr w:type="spellStart"/>
      <w:r w:rsidRPr="00F96F0F">
        <w:rPr>
          <w:rFonts w:ascii="Times New Roman" w:hAnsi="Times New Roman" w:cs="Times New Roman"/>
          <w:sz w:val="18"/>
          <w:szCs w:val="18"/>
        </w:rPr>
        <w:t>Friedlingstein</w:t>
      </w:r>
      <w:proofErr w:type="spellEnd"/>
      <w:r w:rsidRPr="00F96F0F">
        <w:rPr>
          <w:rFonts w:ascii="Times New Roman" w:hAnsi="Times New Roman" w:cs="Times New Roman"/>
          <w:sz w:val="18"/>
          <w:szCs w:val="18"/>
        </w:rPr>
        <w:t xml:space="preserve">, P., Kurz, W., Sanchez, M., Vinas, R., </w:t>
      </w:r>
      <w:proofErr w:type="spellStart"/>
      <w:r w:rsidRPr="00F96F0F">
        <w:rPr>
          <w:rFonts w:ascii="Times New Roman" w:hAnsi="Times New Roman" w:cs="Times New Roman"/>
          <w:sz w:val="18"/>
          <w:szCs w:val="18"/>
        </w:rPr>
        <w:t>Alkama</w:t>
      </w:r>
      <w:proofErr w:type="spellEnd"/>
      <w:r w:rsidRPr="00F96F0F">
        <w:rPr>
          <w:rFonts w:ascii="Times New Roman" w:hAnsi="Times New Roman" w:cs="Times New Roman"/>
          <w:sz w:val="18"/>
          <w:szCs w:val="18"/>
        </w:rPr>
        <w:t xml:space="preserve">, R., </w:t>
      </w:r>
      <w:proofErr w:type="spellStart"/>
      <w:r w:rsidRPr="00F96F0F">
        <w:rPr>
          <w:rFonts w:ascii="Times New Roman" w:hAnsi="Times New Roman" w:cs="Times New Roman"/>
          <w:sz w:val="18"/>
          <w:szCs w:val="18"/>
        </w:rPr>
        <w:t>Bultan</w:t>
      </w:r>
      <w:proofErr w:type="spellEnd"/>
      <w:r w:rsidRPr="00F96F0F">
        <w:rPr>
          <w:rFonts w:ascii="Times New Roman" w:hAnsi="Times New Roman" w:cs="Times New Roman"/>
          <w:sz w:val="18"/>
          <w:szCs w:val="18"/>
        </w:rPr>
        <w:t xml:space="preserve">, S., Ceccherini, G., Falk, S., Kato, E., Kennedy, D., Knauer, J., </w:t>
      </w:r>
      <w:proofErr w:type="spellStart"/>
      <w:r w:rsidRPr="00F96F0F">
        <w:rPr>
          <w:rFonts w:ascii="Times New Roman" w:hAnsi="Times New Roman" w:cs="Times New Roman"/>
          <w:sz w:val="18"/>
          <w:szCs w:val="18"/>
        </w:rPr>
        <w:t>Korosuo</w:t>
      </w:r>
      <w:proofErr w:type="spellEnd"/>
      <w:r w:rsidRPr="00F96F0F">
        <w:rPr>
          <w:rFonts w:ascii="Times New Roman" w:hAnsi="Times New Roman" w:cs="Times New Roman"/>
          <w:sz w:val="18"/>
          <w:szCs w:val="18"/>
        </w:rPr>
        <w:t xml:space="preserve">, A., Melo, J., Mcgrath, M., Nabel, J., Poulter, B., Romanovskaya, A., Rossi, S., Tian, H., Walker, A., Yuan, W., Yue, X. &amp; Pongratz, J., </w:t>
      </w:r>
      <w:proofErr w:type="spellStart"/>
      <w:r w:rsidRPr="00F96F0F">
        <w:rPr>
          <w:rFonts w:ascii="Times New Roman" w:hAnsi="Times New Roman" w:cs="Times New Roman"/>
          <w:sz w:val="18"/>
          <w:szCs w:val="18"/>
        </w:rPr>
        <w:t>Harmonising</w:t>
      </w:r>
      <w:proofErr w:type="spellEnd"/>
      <w:r w:rsidRPr="00F96F0F">
        <w:rPr>
          <w:rFonts w:ascii="Times New Roman" w:hAnsi="Times New Roman" w:cs="Times New Roman"/>
          <w:sz w:val="18"/>
          <w:szCs w:val="18"/>
        </w:rPr>
        <w:t xml:space="preserve"> the Land-Use flux estimates of global models and national inventories for 2000-2020, Earth System Science Data, 15, 1093-1114, </w:t>
      </w:r>
      <w:hyperlink r:id="rId15" w:history="1">
        <w:r w:rsidRPr="00F96F0F">
          <w:rPr>
            <w:rStyle w:val="Hyperlink"/>
            <w:rFonts w:ascii="Times New Roman" w:hAnsi="Times New Roman" w:cs="Times New Roman"/>
            <w:sz w:val="18"/>
            <w:szCs w:val="18"/>
          </w:rPr>
          <w:t>https://zenodo.org/records/7650360</w:t>
        </w:r>
      </w:hyperlink>
      <w:r w:rsidRPr="00F96F0F">
        <w:rPr>
          <w:rFonts w:ascii="Times New Roman" w:hAnsi="Times New Roman" w:cs="Times New Roman"/>
          <w:sz w:val="18"/>
          <w:szCs w:val="18"/>
        </w:rPr>
        <w:t>, 2023.</w:t>
      </w:r>
    </w:p>
    <w:p w14:paraId="64283330" w14:textId="77777777" w:rsidR="00807BAA" w:rsidRPr="00F96F0F" w:rsidRDefault="00807BAA" w:rsidP="0046126D">
      <w:pPr>
        <w:rPr>
          <w:rFonts w:ascii="Times New Roman" w:hAnsi="Times New Roman" w:cs="Times New Roman"/>
          <w:sz w:val="18"/>
          <w:szCs w:val="18"/>
          <w14:ligatures w14:val="standardContextual"/>
        </w:rPr>
      </w:pPr>
      <w:r w:rsidRPr="00F96F0F">
        <w:rPr>
          <w:rFonts w:ascii="Times New Roman" w:hAnsi="Times New Roman" w:cs="Times New Roman"/>
          <w:sz w:val="18"/>
          <w:szCs w:val="18"/>
          <w14:ligatures w14:val="standardContextual"/>
        </w:rPr>
        <w:t xml:space="preserve">IPCC 2006, 2006 IPCC Guidelines for National Greenhouse Gas Inventories, Prepared by the National Greenhouse Gas Inventories </w:t>
      </w:r>
      <w:proofErr w:type="spellStart"/>
      <w:r w:rsidRPr="00F96F0F">
        <w:rPr>
          <w:rFonts w:ascii="Times New Roman" w:hAnsi="Times New Roman" w:cs="Times New Roman"/>
          <w:sz w:val="18"/>
          <w:szCs w:val="18"/>
          <w14:ligatures w14:val="standardContextual"/>
        </w:rPr>
        <w:t>Programme</w:t>
      </w:r>
      <w:proofErr w:type="spellEnd"/>
      <w:r w:rsidRPr="00F96F0F">
        <w:rPr>
          <w:rFonts w:ascii="Times New Roman" w:hAnsi="Times New Roman" w:cs="Times New Roman"/>
          <w:sz w:val="18"/>
          <w:szCs w:val="18"/>
          <w14:ligatures w14:val="standardContextual"/>
        </w:rPr>
        <w:t xml:space="preserve">, Eggleston H.S., Buendia L., Miwa K., Ngara T. and Tanabe K. (eds), Published: IGES, Japan, </w:t>
      </w:r>
      <w:hyperlink r:id="rId16" w:history="1">
        <w:r w:rsidRPr="00F96F0F">
          <w:rPr>
            <w:rStyle w:val="Hyperlink"/>
            <w:rFonts w:ascii="Times New Roman" w:hAnsi="Times New Roman" w:cs="Times New Roman"/>
            <w:sz w:val="18"/>
            <w:szCs w:val="18"/>
            <w14:ligatures w14:val="standardContextual"/>
          </w:rPr>
          <w:t>https://www.ipcc-nggip.iges.or.jp/public/2006gl/index.html</w:t>
        </w:r>
      </w:hyperlink>
      <w:r w:rsidRPr="00F96F0F">
        <w:rPr>
          <w:rFonts w:ascii="Times New Roman" w:hAnsi="Times New Roman" w:cs="Times New Roman"/>
          <w:sz w:val="18"/>
          <w:szCs w:val="18"/>
          <w14:ligatures w14:val="standardContextual"/>
        </w:rPr>
        <w:t>, 2006</w:t>
      </w:r>
    </w:p>
    <w:p w14:paraId="7540B0B2"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IPCC: Climate Change 2022: Mitigation of Climate Change. Contribution of Working Group III to the Sixth Assessment Report of the Intergovernmental Panel on Climate Change [P.R. Shukla, J. Skea, R. Slade, A. Al </w:t>
      </w:r>
      <w:proofErr w:type="spellStart"/>
      <w:r w:rsidRPr="00F96F0F">
        <w:rPr>
          <w:rFonts w:ascii="Times New Roman" w:hAnsi="Times New Roman" w:cs="Times New Roman"/>
          <w:sz w:val="18"/>
          <w:szCs w:val="18"/>
        </w:rPr>
        <w:t>Khourdajie</w:t>
      </w:r>
      <w:proofErr w:type="spellEnd"/>
      <w:r w:rsidRPr="00F96F0F">
        <w:rPr>
          <w:rFonts w:ascii="Times New Roman" w:hAnsi="Times New Roman" w:cs="Times New Roman"/>
          <w:sz w:val="18"/>
          <w:szCs w:val="18"/>
        </w:rPr>
        <w:t xml:space="preserve">, R. van Diemen, D. McCollum, M. Pathak, S. Some, P. Vyas, R. Fradera, M. Belkacemi, A. Hasija, G. Lisboa, S. Luz, J. Malley, (eds.)], Cambridge University Press, Cambridge, UK and New York, NY, USA. </w:t>
      </w:r>
      <w:proofErr w:type="spellStart"/>
      <w:r w:rsidRPr="00F96F0F">
        <w:rPr>
          <w:rFonts w:ascii="Times New Roman" w:hAnsi="Times New Roman" w:cs="Times New Roman"/>
          <w:sz w:val="18"/>
          <w:szCs w:val="18"/>
        </w:rPr>
        <w:t>doi</w:t>
      </w:r>
      <w:proofErr w:type="spellEnd"/>
      <w:r w:rsidRPr="00F96F0F">
        <w:rPr>
          <w:rFonts w:ascii="Times New Roman" w:hAnsi="Times New Roman" w:cs="Times New Roman"/>
          <w:sz w:val="18"/>
          <w:szCs w:val="18"/>
        </w:rPr>
        <w:t>: 10.1017/9781009157926, 2022</w:t>
      </w:r>
    </w:p>
    <w:p w14:paraId="4DC78AF5"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McGlynn, E., Li, S., F. Berger, M. et al. Addressing uncertainty and bias in land use, land use change, and forestry greenhouse gas inventories. Climatic Change 170, 5 (2022). https://doi.org/10.1007/s10584-021-03254-2</w:t>
      </w:r>
    </w:p>
    <w:p w14:paraId="7B2AC13A" w14:textId="77777777" w:rsidR="00807BAA" w:rsidRPr="00F96F0F" w:rsidRDefault="00807BAA" w:rsidP="0046126D">
      <w:pPr>
        <w:rPr>
          <w:rFonts w:ascii="Times New Roman" w:hAnsi="Times New Roman" w:cs="Times New Roman"/>
          <w:sz w:val="18"/>
          <w:szCs w:val="18"/>
        </w:rPr>
      </w:pPr>
      <w:r w:rsidRPr="00F96F0F">
        <w:rPr>
          <w:rFonts w:ascii="Times New Roman" w:hAnsi="Times New Roman" w:cs="Times New Roman"/>
          <w:sz w:val="18"/>
          <w:szCs w:val="18"/>
        </w:rPr>
        <w:t xml:space="preserve">United Nations Environment </w:t>
      </w:r>
      <w:proofErr w:type="spellStart"/>
      <w:r w:rsidRPr="00F96F0F">
        <w:rPr>
          <w:rFonts w:ascii="Times New Roman" w:hAnsi="Times New Roman" w:cs="Times New Roman"/>
          <w:sz w:val="18"/>
          <w:szCs w:val="18"/>
        </w:rPr>
        <w:t>Programme</w:t>
      </w:r>
      <w:proofErr w:type="spellEnd"/>
      <w:r w:rsidRPr="00F96F0F">
        <w:rPr>
          <w:rFonts w:ascii="Times New Roman" w:hAnsi="Times New Roman" w:cs="Times New Roman"/>
          <w:sz w:val="18"/>
          <w:szCs w:val="18"/>
        </w:rPr>
        <w:t xml:space="preserve">: Emissions Gap Report 2023: Broken Record – Temperatures hit new highs, yet world fails to cut emissions (again), Nairobi, </w:t>
      </w:r>
      <w:hyperlink r:id="rId17" w:history="1">
        <w:r w:rsidRPr="00F96F0F">
          <w:rPr>
            <w:rStyle w:val="Hyperlink"/>
            <w:rFonts w:ascii="Times New Roman" w:hAnsi="Times New Roman" w:cs="Times New Roman"/>
            <w:sz w:val="18"/>
            <w:szCs w:val="18"/>
          </w:rPr>
          <w:t>https://doi.org/10.59117/20.500.11822/43922</w:t>
        </w:r>
      </w:hyperlink>
      <w:r w:rsidRPr="00F96F0F">
        <w:rPr>
          <w:rFonts w:ascii="Times New Roman" w:hAnsi="Times New Roman" w:cs="Times New Roman"/>
          <w:sz w:val="18"/>
          <w:szCs w:val="18"/>
        </w:rPr>
        <w:t>, 2023.</w:t>
      </w:r>
    </w:p>
    <w:p w14:paraId="230B4216" w14:textId="77777777" w:rsidR="00D92EDD" w:rsidRPr="0054513B" w:rsidRDefault="00D92EDD" w:rsidP="0008113F">
      <w:pPr>
        <w:spacing w:after="0" w:line="240" w:lineRule="auto"/>
        <w:textAlignment w:val="baseline"/>
        <w:rPr>
          <w:rFonts w:ascii="Times New Roman" w:eastAsia="Times New Roman" w:hAnsi="Times New Roman" w:cs="Times New Roman"/>
          <w:sz w:val="20"/>
          <w:szCs w:val="20"/>
        </w:rPr>
      </w:pPr>
    </w:p>
    <w:sectPr w:rsidR="00D92EDD" w:rsidRPr="0054513B" w:rsidSect="0066559D">
      <w:headerReference w:type="default" r:id="rId18"/>
      <w:pgSz w:w="12240" w:h="15840"/>
      <w:pgMar w:top="810" w:right="135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2535C" w14:textId="77777777" w:rsidR="00D413D1" w:rsidRDefault="00D413D1" w:rsidP="00D459F2">
      <w:pPr>
        <w:spacing w:after="0" w:line="240" w:lineRule="auto"/>
      </w:pPr>
      <w:r>
        <w:separator/>
      </w:r>
    </w:p>
  </w:endnote>
  <w:endnote w:type="continuationSeparator" w:id="0">
    <w:p w14:paraId="64260A0E" w14:textId="77777777" w:rsidR="00D413D1" w:rsidRDefault="00D413D1" w:rsidP="00D459F2">
      <w:pPr>
        <w:spacing w:after="0" w:line="240" w:lineRule="auto"/>
      </w:pPr>
      <w:r>
        <w:continuationSeparator/>
      </w:r>
    </w:p>
  </w:endnote>
  <w:endnote w:type="continuationNotice" w:id="1">
    <w:p w14:paraId="55AA4FAE" w14:textId="77777777" w:rsidR="00D413D1" w:rsidRDefault="00D41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7DC1D" w14:textId="77777777" w:rsidR="00D413D1" w:rsidRDefault="00D413D1" w:rsidP="00D459F2">
      <w:pPr>
        <w:spacing w:after="0" w:line="240" w:lineRule="auto"/>
      </w:pPr>
      <w:r>
        <w:separator/>
      </w:r>
    </w:p>
  </w:footnote>
  <w:footnote w:type="continuationSeparator" w:id="0">
    <w:p w14:paraId="60A740F0" w14:textId="77777777" w:rsidR="00D413D1" w:rsidRDefault="00D413D1" w:rsidP="00D459F2">
      <w:pPr>
        <w:spacing w:after="0" w:line="240" w:lineRule="auto"/>
      </w:pPr>
      <w:r>
        <w:continuationSeparator/>
      </w:r>
    </w:p>
  </w:footnote>
  <w:footnote w:type="continuationNotice" w:id="1">
    <w:p w14:paraId="5C82DB9F" w14:textId="77777777" w:rsidR="00D413D1" w:rsidRDefault="00D413D1">
      <w:pPr>
        <w:spacing w:after="0" w:line="240" w:lineRule="auto"/>
      </w:pPr>
    </w:p>
  </w:footnote>
  <w:footnote w:id="2">
    <w:p w14:paraId="53F6F039" w14:textId="6BA9C11E" w:rsidR="002314D1" w:rsidRPr="00D535BF" w:rsidRDefault="002314D1">
      <w:pPr>
        <w:pStyle w:val="FootnoteText"/>
        <w:rPr>
          <w:rFonts w:ascii="Times New Roman" w:hAnsi="Times New Roman" w:cs="Times New Roman"/>
          <w:sz w:val="18"/>
          <w:szCs w:val="18"/>
        </w:rPr>
      </w:pPr>
      <w:r w:rsidRPr="00D535BF">
        <w:rPr>
          <w:rStyle w:val="FootnoteReference"/>
          <w:rFonts w:ascii="Times New Roman" w:hAnsi="Times New Roman" w:cs="Times New Roman"/>
          <w:sz w:val="18"/>
          <w:szCs w:val="18"/>
        </w:rPr>
        <w:footnoteRef/>
      </w:r>
      <w:r w:rsidRPr="00D535BF">
        <w:rPr>
          <w:rFonts w:ascii="Times New Roman" w:hAnsi="Times New Roman" w:cs="Times New Roman"/>
          <w:sz w:val="18"/>
          <w:szCs w:val="18"/>
        </w:rPr>
        <w:t xml:space="preserve"> </w:t>
      </w:r>
      <w:hyperlink r:id="rId1" w:history="1">
        <w:r w:rsidR="00C3171D" w:rsidRPr="00D535BF">
          <w:rPr>
            <w:rStyle w:val="Hyperlink"/>
            <w:rFonts w:ascii="Times New Roman" w:hAnsi="Times New Roman" w:cs="Times New Roman"/>
            <w:sz w:val="18"/>
            <w:szCs w:val="18"/>
          </w:rPr>
          <w:t>https://edgar.jrc.ec.europa.eu/report_2024</w:t>
        </w:r>
      </w:hyperlink>
      <w:r w:rsidR="00626A31" w:rsidRPr="00D535BF">
        <w:rPr>
          <w:rFonts w:ascii="Times New Roman" w:hAnsi="Times New Roman" w:cs="Times New Roman"/>
          <w:sz w:val="18"/>
          <w:szCs w:val="18"/>
        </w:rPr>
        <w:t xml:space="preserve">. </w:t>
      </w:r>
    </w:p>
  </w:footnote>
  <w:footnote w:id="3">
    <w:p w14:paraId="15F07AB5" w14:textId="04BE5979" w:rsidR="00AB3817" w:rsidRPr="00D535BF" w:rsidRDefault="00AB3817" w:rsidP="00C6227A">
      <w:pPr>
        <w:pStyle w:val="FootnoteText"/>
        <w:rPr>
          <w:rFonts w:ascii="Times New Roman" w:hAnsi="Times New Roman" w:cs="Times New Roman"/>
          <w:sz w:val="18"/>
          <w:szCs w:val="18"/>
        </w:rPr>
      </w:pPr>
      <w:r w:rsidRPr="00D535BF">
        <w:rPr>
          <w:rStyle w:val="FootnoteReference"/>
          <w:rFonts w:ascii="Times New Roman" w:hAnsi="Times New Roman" w:cs="Times New Roman"/>
          <w:sz w:val="18"/>
          <w:szCs w:val="18"/>
        </w:rPr>
        <w:footnoteRef/>
      </w:r>
      <w:r w:rsidRPr="00D535BF">
        <w:rPr>
          <w:rFonts w:ascii="Times New Roman" w:hAnsi="Times New Roman" w:cs="Times New Roman"/>
          <w:sz w:val="18"/>
          <w:szCs w:val="18"/>
        </w:rPr>
        <w:t xml:space="preserve"> EDGAR subsectors </w:t>
      </w:r>
      <w:proofErr w:type="gramStart"/>
      <w:r w:rsidRPr="00D535BF">
        <w:rPr>
          <w:rFonts w:ascii="Times New Roman" w:hAnsi="Times New Roman" w:cs="Times New Roman"/>
          <w:sz w:val="18"/>
          <w:szCs w:val="18"/>
        </w:rPr>
        <w:t>are:</w:t>
      </w:r>
      <w:proofErr w:type="gramEnd"/>
      <w:r w:rsidRPr="00D535BF">
        <w:rPr>
          <w:rFonts w:ascii="Times New Roman" w:hAnsi="Times New Roman" w:cs="Times New Roman"/>
          <w:sz w:val="18"/>
          <w:szCs w:val="18"/>
        </w:rPr>
        <w:t xml:space="preserve"> </w:t>
      </w:r>
      <w:r w:rsidR="00C6227A" w:rsidRPr="00D535BF">
        <w:rPr>
          <w:rFonts w:ascii="Times New Roman" w:hAnsi="Times New Roman" w:cs="Times New Roman"/>
          <w:sz w:val="18"/>
          <w:szCs w:val="18"/>
        </w:rPr>
        <w:t xml:space="preserve">Agriculture, Buildings, </w:t>
      </w:r>
      <w:r w:rsidR="00F12363" w:rsidRPr="00D535BF">
        <w:rPr>
          <w:rFonts w:ascii="Times New Roman" w:hAnsi="Times New Roman" w:cs="Times New Roman"/>
          <w:sz w:val="18"/>
          <w:szCs w:val="18"/>
        </w:rPr>
        <w:t xml:space="preserve">Deforestation, Fires, Forest Land, </w:t>
      </w:r>
      <w:r w:rsidR="00C6227A" w:rsidRPr="00D535BF">
        <w:rPr>
          <w:rFonts w:ascii="Times New Roman" w:hAnsi="Times New Roman" w:cs="Times New Roman"/>
          <w:sz w:val="18"/>
          <w:szCs w:val="18"/>
        </w:rPr>
        <w:t xml:space="preserve">Fuel Exploitation, Industrial Combustion, </w:t>
      </w:r>
      <w:r w:rsidR="00F12363" w:rsidRPr="00D535BF">
        <w:rPr>
          <w:rFonts w:ascii="Times New Roman" w:hAnsi="Times New Roman" w:cs="Times New Roman"/>
          <w:sz w:val="18"/>
          <w:szCs w:val="18"/>
        </w:rPr>
        <w:t>Organic Soil, Other Land</w:t>
      </w:r>
      <w:r w:rsidR="003772B9" w:rsidRPr="00D535BF">
        <w:rPr>
          <w:rFonts w:ascii="Times New Roman" w:hAnsi="Times New Roman" w:cs="Times New Roman"/>
          <w:sz w:val="18"/>
          <w:szCs w:val="18"/>
        </w:rPr>
        <w:t>,</w:t>
      </w:r>
      <w:r w:rsidR="00F12363" w:rsidRPr="00D535BF">
        <w:rPr>
          <w:rFonts w:ascii="Times New Roman" w:hAnsi="Times New Roman" w:cs="Times New Roman"/>
          <w:sz w:val="18"/>
          <w:szCs w:val="18"/>
        </w:rPr>
        <w:t xml:space="preserve"> </w:t>
      </w:r>
      <w:r w:rsidR="00C6227A" w:rsidRPr="00D535BF">
        <w:rPr>
          <w:rFonts w:ascii="Times New Roman" w:hAnsi="Times New Roman" w:cs="Times New Roman"/>
          <w:sz w:val="18"/>
          <w:szCs w:val="18"/>
        </w:rPr>
        <w:t xml:space="preserve">Power Industry, Processes, Transport, </w:t>
      </w:r>
      <w:r w:rsidR="00F12363" w:rsidRPr="00D535BF">
        <w:rPr>
          <w:rFonts w:ascii="Times New Roman" w:hAnsi="Times New Roman" w:cs="Times New Roman"/>
          <w:sz w:val="18"/>
          <w:szCs w:val="18"/>
        </w:rPr>
        <w:t xml:space="preserve">and </w:t>
      </w:r>
      <w:r w:rsidR="00C6227A" w:rsidRPr="00D535BF">
        <w:rPr>
          <w:rFonts w:ascii="Times New Roman" w:hAnsi="Times New Roman" w:cs="Times New Roman"/>
          <w:sz w:val="18"/>
          <w:szCs w:val="18"/>
        </w:rPr>
        <w:t>Waste</w:t>
      </w:r>
      <w:r w:rsidR="00F12363" w:rsidRPr="00D535BF">
        <w:rPr>
          <w:rFonts w:ascii="Times New Roman" w:hAnsi="Times New Roman" w:cs="Times New Roman"/>
          <w:sz w:val="18"/>
          <w:szCs w:val="18"/>
        </w:rPr>
        <w:t>.</w:t>
      </w:r>
      <w:r w:rsidR="00C6227A" w:rsidRPr="00D535BF">
        <w:rPr>
          <w:rFonts w:ascii="Times New Roman" w:hAnsi="Times New Roman" w:cs="Times New Roman"/>
          <w:sz w:val="18"/>
          <w:szCs w:val="18"/>
        </w:rPr>
        <w:t xml:space="preserve"> </w:t>
      </w:r>
      <w:r w:rsidR="002874B2" w:rsidRPr="00D535BF">
        <w:rPr>
          <w:rFonts w:ascii="Times New Roman" w:hAnsi="Times New Roman" w:cs="Times New Roman"/>
          <w:sz w:val="18"/>
          <w:szCs w:val="18"/>
        </w:rPr>
        <w:t>The global data are disaggregated by the following GHG cate</w:t>
      </w:r>
      <w:r w:rsidR="000F09A9" w:rsidRPr="00D535BF">
        <w:rPr>
          <w:rFonts w:ascii="Times New Roman" w:hAnsi="Times New Roman" w:cs="Times New Roman"/>
          <w:sz w:val="18"/>
          <w:szCs w:val="18"/>
        </w:rPr>
        <w:t>gories—CO2, CH4, N2O, and F-gases.</w:t>
      </w:r>
    </w:p>
  </w:footnote>
  <w:footnote w:id="4">
    <w:p w14:paraId="2346287E" w14:textId="3479D252" w:rsidR="00C3171D" w:rsidRPr="00242C1C" w:rsidRDefault="00C3171D">
      <w:pPr>
        <w:pStyle w:val="FootnoteText"/>
        <w:rPr>
          <w:rFonts w:ascii="Times New Roman" w:eastAsia="Times New Roman" w:hAnsi="Times New Roman" w:cs="Times New Roman"/>
          <w:sz w:val="18"/>
          <w:szCs w:val="18"/>
        </w:rPr>
      </w:pPr>
      <w:r w:rsidRPr="00D535BF">
        <w:rPr>
          <w:rStyle w:val="FootnoteReference"/>
          <w:rFonts w:ascii="Times New Roman" w:hAnsi="Times New Roman" w:cs="Times New Roman"/>
          <w:sz w:val="18"/>
          <w:szCs w:val="18"/>
        </w:rPr>
        <w:footnoteRef/>
      </w:r>
      <w:r w:rsidRPr="00D535BF">
        <w:rPr>
          <w:rFonts w:ascii="Times New Roman" w:hAnsi="Times New Roman" w:cs="Times New Roman"/>
          <w:sz w:val="18"/>
          <w:szCs w:val="18"/>
        </w:rPr>
        <w:t xml:space="preserve"> </w:t>
      </w:r>
      <w:r w:rsidRPr="00D535BF">
        <w:rPr>
          <w:rFonts w:ascii="Times New Roman" w:eastAsia="Times New Roman" w:hAnsi="Times New Roman" w:cs="Times New Roman"/>
          <w:sz w:val="18"/>
          <w:szCs w:val="18"/>
        </w:rPr>
        <w:t xml:space="preserve">Data for the non-LULUCF data are available from 1970 to 2022 and were downloaded from </w:t>
      </w:r>
      <w:r w:rsidR="00176AA6" w:rsidRPr="00D535BF">
        <w:rPr>
          <w:rFonts w:ascii="Times New Roman" w:eastAsia="Times New Roman" w:hAnsi="Times New Roman" w:cs="Times New Roman"/>
          <w:sz w:val="18"/>
          <w:szCs w:val="18"/>
        </w:rPr>
        <w:t>https://edgar.jrc.ec.europa.eu/report_2024</w:t>
      </w:r>
    </w:p>
  </w:footnote>
  <w:footnote w:id="5">
    <w:p w14:paraId="322F97CE" w14:textId="2E30978D" w:rsidR="00B82BD0" w:rsidRPr="00750043" w:rsidRDefault="00B82BD0" w:rsidP="00B82BD0">
      <w:pPr>
        <w:pStyle w:val="FootnoteText"/>
        <w:rPr>
          <w:rFonts w:ascii="Times New Roman" w:hAnsi="Times New Roman" w:cs="Times New Roman"/>
          <w:sz w:val="18"/>
          <w:szCs w:val="18"/>
        </w:rPr>
      </w:pPr>
      <w:r w:rsidRPr="00750043">
        <w:rPr>
          <w:rStyle w:val="FootnoteReference"/>
          <w:rFonts w:ascii="Times New Roman" w:hAnsi="Times New Roman" w:cs="Times New Roman"/>
          <w:sz w:val="18"/>
          <w:szCs w:val="18"/>
        </w:rPr>
        <w:footnoteRef/>
      </w:r>
      <w:r w:rsidR="008F694F">
        <w:rPr>
          <w:rFonts w:ascii="Times New Roman" w:hAnsi="Times New Roman" w:cs="Times New Roman"/>
          <w:sz w:val="18"/>
          <w:szCs w:val="18"/>
        </w:rPr>
        <w:t xml:space="preserve"> </w:t>
      </w:r>
      <w:r w:rsidR="004830B0" w:rsidRPr="008F694F">
        <w:rPr>
          <w:rFonts w:ascii="Times New Roman" w:hAnsi="Times New Roman" w:cs="Times New Roman"/>
          <w:sz w:val="18"/>
          <w:szCs w:val="18"/>
        </w:rPr>
        <w:t>https://edgar.jrc.ec.europa.eu/dataset_ghg2024</w:t>
      </w:r>
      <w:r w:rsidR="008F694F">
        <w:rPr>
          <w:rFonts w:ascii="Times New Roman" w:hAnsi="Times New Roman" w:cs="Times New Roman"/>
          <w:sz w:val="18"/>
          <w:szCs w:val="18"/>
        </w:rPr>
        <w:t>.</w:t>
      </w:r>
      <w:r w:rsidR="00F12363" w:rsidRPr="00750043">
        <w:rPr>
          <w:rStyle w:val="Hyperlink"/>
          <w:rFonts w:ascii="Times New Roman" w:hAnsi="Times New Roman" w:cs="Times New Roman"/>
          <w:sz w:val="18"/>
          <w:szCs w:val="18"/>
        </w:rPr>
        <w:t xml:space="preserve"> </w:t>
      </w:r>
    </w:p>
  </w:footnote>
  <w:footnote w:id="6">
    <w:p w14:paraId="57A59FE6" w14:textId="54C27A1C" w:rsidR="00BD273F" w:rsidRPr="006C16B0" w:rsidRDefault="00BD273F" w:rsidP="00BD273F">
      <w:pPr>
        <w:pStyle w:val="FootnoteText"/>
      </w:pPr>
      <w:r w:rsidRPr="00750043">
        <w:rPr>
          <w:rStyle w:val="FootnoteReference"/>
          <w:rFonts w:ascii="Times New Roman" w:hAnsi="Times New Roman" w:cs="Times New Roman"/>
          <w:sz w:val="18"/>
          <w:szCs w:val="18"/>
        </w:rPr>
        <w:footnoteRef/>
      </w:r>
      <w:r w:rsidRPr="00750043">
        <w:rPr>
          <w:rFonts w:ascii="Times New Roman" w:hAnsi="Times New Roman" w:cs="Times New Roman"/>
          <w:sz w:val="18"/>
          <w:szCs w:val="18"/>
        </w:rPr>
        <w:t xml:space="preserve"> National level LULUCF emissions estimates were obtained from the </w:t>
      </w:r>
      <w:r w:rsidR="00BF3EBB" w:rsidRPr="008F694F">
        <w:rPr>
          <w:rFonts w:ascii="Times New Roman" w:eastAsia="Times New Roman" w:hAnsi="Times New Roman" w:cs="Times New Roman"/>
          <w:sz w:val="18"/>
          <w:szCs w:val="18"/>
        </w:rPr>
        <w:t>EU Forest Observatory</w:t>
      </w:r>
      <w:r w:rsidRPr="00750043">
        <w:rPr>
          <w:rFonts w:ascii="Times New Roman" w:hAnsi="Times New Roman" w:cs="Times New Roman"/>
          <w:sz w:val="18"/>
          <w:szCs w:val="18"/>
        </w:rPr>
        <w:t xml:space="preserve"> available at </w:t>
      </w:r>
      <w:r w:rsidR="00BF3EBB" w:rsidRPr="00BF3EBB">
        <w:rPr>
          <w:rFonts w:ascii="Times New Roman" w:hAnsi="Times New Roman" w:cs="Times New Roman"/>
          <w:sz w:val="18"/>
          <w:szCs w:val="18"/>
        </w:rPr>
        <w:t>https://forest-observatory.ec.europa.eu/</w:t>
      </w:r>
      <w:r w:rsidRPr="00750043">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A7219" w14:textId="786442C7" w:rsidR="005740D4" w:rsidRDefault="00DD1ABE">
    <w:pPr>
      <w:pStyle w:val="Header"/>
    </w:pPr>
    <w:r>
      <w:rPr>
        <w:noProof/>
      </w:rPr>
      <w:drawing>
        <wp:anchor distT="0" distB="0" distL="114300" distR="114300" simplePos="0" relativeHeight="251658241" behindDoc="0" locked="0" layoutInCell="1" allowOverlap="1" wp14:anchorId="0D2C4739" wp14:editId="67C5974B">
          <wp:simplePos x="0" y="0"/>
          <wp:positionH relativeFrom="column">
            <wp:posOffset>3791585</wp:posOffset>
          </wp:positionH>
          <wp:positionV relativeFrom="paragraph">
            <wp:posOffset>-249555</wp:posOffset>
          </wp:positionV>
          <wp:extent cx="1647190" cy="274320"/>
          <wp:effectExtent l="0" t="0" r="0" b="0"/>
          <wp:wrapNone/>
          <wp:docPr id="5" name="Picture 5" descr="Logo&#10;&#10;Description automatically generated">
            <a:extLst xmlns:a="http://schemas.openxmlformats.org/drawingml/2006/main">
              <a:ext uri="{FF2B5EF4-FFF2-40B4-BE49-F238E27FC236}">
                <a16:creationId xmlns:a16="http://schemas.microsoft.com/office/drawing/2014/main" id="{9E85C89F-7CF7-4A9E-7C92-3B442539DA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0" descr="Logo&#10;&#10;Description automatically generated">
                    <a:extLst>
                      <a:ext uri="{FF2B5EF4-FFF2-40B4-BE49-F238E27FC236}">
                        <a16:creationId xmlns:a16="http://schemas.microsoft.com/office/drawing/2014/main" id="{9E85C89F-7CF7-4A9E-7C92-3B442539DA42}"/>
                      </a:ext>
                    </a:extLst>
                  </pic:cNvPr>
                  <pic:cNvPicPr>
                    <a:picLocks noChangeAspect="1"/>
                  </pic:cNvPicPr>
                </pic:nvPicPr>
                <pic:blipFill>
                  <a:blip r:embed="rId1">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64719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1C280AFD" wp14:editId="59BDF750">
          <wp:simplePos x="0" y="0"/>
          <wp:positionH relativeFrom="column">
            <wp:posOffset>2253615</wp:posOffset>
          </wp:positionH>
          <wp:positionV relativeFrom="paragraph">
            <wp:posOffset>-255270</wp:posOffset>
          </wp:positionV>
          <wp:extent cx="1438910" cy="274320"/>
          <wp:effectExtent l="0" t="0" r="8890" b="0"/>
          <wp:wrapNone/>
          <wp:docPr id="6" name="Picture 6" descr="A picture containing text, clipart&#10;&#10;Description automatically generated">
            <a:extLst xmlns:a="http://schemas.openxmlformats.org/drawingml/2006/main">
              <a:ext uri="{FF2B5EF4-FFF2-40B4-BE49-F238E27FC236}">
                <a16:creationId xmlns:a16="http://schemas.microsoft.com/office/drawing/2014/main" id="{E9F340C2-15B2-8DD1-221B-072CA1F13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A picture containing text, clipart&#10;&#10;Description automatically generated">
                    <a:extLst>
                      <a:ext uri="{FF2B5EF4-FFF2-40B4-BE49-F238E27FC236}">
                        <a16:creationId xmlns:a16="http://schemas.microsoft.com/office/drawing/2014/main" id="{E9F340C2-15B2-8DD1-221B-072CA1F13EBE}"/>
                      </a:ext>
                    </a:extLst>
                  </pic:cNvPr>
                  <pic:cNvPicPr>
                    <a:picLocks noChangeAspect="1"/>
                  </pic:cNvPicPr>
                </pic:nvPicPr>
                <pic:blipFill>
                  <a:blip r:embed="rId2">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43891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E81B78" wp14:editId="7E831DBE">
          <wp:simplePos x="0" y="0"/>
          <wp:positionH relativeFrom="column">
            <wp:posOffset>832485</wp:posOffset>
          </wp:positionH>
          <wp:positionV relativeFrom="paragraph">
            <wp:posOffset>-254162</wp:posOffset>
          </wp:positionV>
          <wp:extent cx="1325880" cy="274320"/>
          <wp:effectExtent l="0" t="0" r="7620" b="0"/>
          <wp:wrapNone/>
          <wp:docPr id="7" name="Picture 7" descr="Logo, company name&#10;&#10;Description automatically generated">
            <a:extLst xmlns:a="http://schemas.openxmlformats.org/drawingml/2006/main">
              <a:ext uri="{FF2B5EF4-FFF2-40B4-BE49-F238E27FC236}">
                <a16:creationId xmlns:a16="http://schemas.microsoft.com/office/drawing/2014/main" id="{685E90A6-87A1-CBBB-3BE0-D2B489863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descr="Logo, company name&#10;&#10;Description automatically generated">
                    <a:extLst>
                      <a:ext uri="{FF2B5EF4-FFF2-40B4-BE49-F238E27FC236}">
                        <a16:creationId xmlns:a16="http://schemas.microsoft.com/office/drawing/2014/main" id="{685E90A6-87A1-CBBB-3BE0-D2B489863A60}"/>
                      </a:ext>
                    </a:extLst>
                  </pic:cNvPr>
                  <pic:cNvPicPr>
                    <a:picLocks noChangeAspect="1"/>
                  </pic:cNvPicPr>
                </pic:nvPicPr>
                <pic:blipFill>
                  <a:blip r:embed="rId3">
                    <a:duotone>
                      <a:prstClr val="black"/>
                      <a:schemeClr val="bg1">
                        <a:lumMod val="85000"/>
                        <a:tint val="45000"/>
                        <a:satMod val="400000"/>
                      </a:schemeClr>
                    </a:duotone>
                    <a:extLst>
                      <a:ext uri="{BEBA8EAE-BF5A-486C-A8C5-ECC9F3942E4B}">
                        <a14:imgProps xmlns:a14="http://schemas.microsoft.com/office/drawing/2010/main">
                          <a14:imgLayer r:embed="rId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325880" cy="2743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CE98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7B20"/>
    <w:multiLevelType w:val="multilevel"/>
    <w:tmpl w:val="B240F4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040E41"/>
    <w:multiLevelType w:val="hybridMultilevel"/>
    <w:tmpl w:val="00A4D80E"/>
    <w:lvl w:ilvl="0" w:tplc="2F6453F2">
      <w:start w:val="20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BD4A2C"/>
    <w:multiLevelType w:val="multilevel"/>
    <w:tmpl w:val="7D0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15222"/>
    <w:multiLevelType w:val="hybridMultilevel"/>
    <w:tmpl w:val="80A82770"/>
    <w:lvl w:ilvl="0" w:tplc="750E1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4707B"/>
    <w:multiLevelType w:val="hybridMultilevel"/>
    <w:tmpl w:val="A87413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B948D6"/>
    <w:multiLevelType w:val="multilevel"/>
    <w:tmpl w:val="E744A39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6C85B12"/>
    <w:multiLevelType w:val="multilevel"/>
    <w:tmpl w:val="F626D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030CB"/>
    <w:multiLevelType w:val="multilevel"/>
    <w:tmpl w:val="3F9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367E9"/>
    <w:multiLevelType w:val="multilevel"/>
    <w:tmpl w:val="332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C1752"/>
    <w:multiLevelType w:val="multilevel"/>
    <w:tmpl w:val="AD6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C4D89"/>
    <w:multiLevelType w:val="hybridMultilevel"/>
    <w:tmpl w:val="9206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5313E"/>
    <w:multiLevelType w:val="multilevel"/>
    <w:tmpl w:val="975AF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3731C"/>
    <w:multiLevelType w:val="multilevel"/>
    <w:tmpl w:val="92FE8EE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7970122E"/>
    <w:multiLevelType w:val="hybridMultilevel"/>
    <w:tmpl w:val="285E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45A21"/>
    <w:multiLevelType w:val="multilevel"/>
    <w:tmpl w:val="F98CFB1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7E4A2314"/>
    <w:multiLevelType w:val="hybridMultilevel"/>
    <w:tmpl w:val="EF1C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A68AB"/>
    <w:multiLevelType w:val="hybridMultilevel"/>
    <w:tmpl w:val="F7204E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7236794">
    <w:abstractNumId w:val="1"/>
  </w:num>
  <w:num w:numId="2" w16cid:durableId="1775635197">
    <w:abstractNumId w:val="15"/>
  </w:num>
  <w:num w:numId="3" w16cid:durableId="1166632748">
    <w:abstractNumId w:val="3"/>
  </w:num>
  <w:num w:numId="4" w16cid:durableId="1267814003">
    <w:abstractNumId w:val="7"/>
  </w:num>
  <w:num w:numId="5" w16cid:durableId="1276207589">
    <w:abstractNumId w:val="13"/>
  </w:num>
  <w:num w:numId="6" w16cid:durableId="1463187718">
    <w:abstractNumId w:val="8"/>
  </w:num>
  <w:num w:numId="7" w16cid:durableId="897476313">
    <w:abstractNumId w:val="12"/>
  </w:num>
  <w:num w:numId="8" w16cid:durableId="1750035665">
    <w:abstractNumId w:val="6"/>
  </w:num>
  <w:num w:numId="9" w16cid:durableId="1972008110">
    <w:abstractNumId w:val="14"/>
  </w:num>
  <w:num w:numId="10" w16cid:durableId="392772965">
    <w:abstractNumId w:val="16"/>
  </w:num>
  <w:num w:numId="11" w16cid:durableId="353581661">
    <w:abstractNumId w:val="2"/>
  </w:num>
  <w:num w:numId="12" w16cid:durableId="249971094">
    <w:abstractNumId w:val="2"/>
  </w:num>
  <w:num w:numId="13" w16cid:durableId="95487665">
    <w:abstractNumId w:val="11"/>
  </w:num>
  <w:num w:numId="14" w16cid:durableId="1419904814">
    <w:abstractNumId w:val="5"/>
  </w:num>
  <w:num w:numId="15" w16cid:durableId="788666035">
    <w:abstractNumId w:val="17"/>
  </w:num>
  <w:num w:numId="16" w16cid:durableId="955721920">
    <w:abstractNumId w:val="0"/>
  </w:num>
  <w:num w:numId="17" w16cid:durableId="779371890">
    <w:abstractNumId w:val="9"/>
  </w:num>
  <w:num w:numId="18" w16cid:durableId="758257581">
    <w:abstractNumId w:val="10"/>
  </w:num>
  <w:num w:numId="19" w16cid:durableId="414478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trackRevisions/>
  <w:documentProtection w:edit="trackedChanges" w:enforcement="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04"/>
    <w:rsid w:val="00000D9C"/>
    <w:rsid w:val="00000F99"/>
    <w:rsid w:val="00000FB2"/>
    <w:rsid w:val="000016F0"/>
    <w:rsid w:val="00002563"/>
    <w:rsid w:val="0000322B"/>
    <w:rsid w:val="0000364C"/>
    <w:rsid w:val="000042D8"/>
    <w:rsid w:val="00004835"/>
    <w:rsid w:val="00005837"/>
    <w:rsid w:val="00007406"/>
    <w:rsid w:val="000106BC"/>
    <w:rsid w:val="00010D09"/>
    <w:rsid w:val="00011E8C"/>
    <w:rsid w:val="00011FC5"/>
    <w:rsid w:val="00013B75"/>
    <w:rsid w:val="00014B01"/>
    <w:rsid w:val="0001766E"/>
    <w:rsid w:val="00017B09"/>
    <w:rsid w:val="00017E60"/>
    <w:rsid w:val="00020E72"/>
    <w:rsid w:val="00021C45"/>
    <w:rsid w:val="000221E0"/>
    <w:rsid w:val="000231D0"/>
    <w:rsid w:val="0002399F"/>
    <w:rsid w:val="00023ACA"/>
    <w:rsid w:val="00024150"/>
    <w:rsid w:val="00024C20"/>
    <w:rsid w:val="00025240"/>
    <w:rsid w:val="00026A59"/>
    <w:rsid w:val="00027757"/>
    <w:rsid w:val="00027B40"/>
    <w:rsid w:val="00027C36"/>
    <w:rsid w:val="00027E5E"/>
    <w:rsid w:val="00030132"/>
    <w:rsid w:val="00030399"/>
    <w:rsid w:val="00031569"/>
    <w:rsid w:val="00031DDE"/>
    <w:rsid w:val="00032E7B"/>
    <w:rsid w:val="00033E24"/>
    <w:rsid w:val="00034C00"/>
    <w:rsid w:val="00035363"/>
    <w:rsid w:val="000354C4"/>
    <w:rsid w:val="00036010"/>
    <w:rsid w:val="000377EA"/>
    <w:rsid w:val="000403A9"/>
    <w:rsid w:val="00040F7D"/>
    <w:rsid w:val="00041363"/>
    <w:rsid w:val="000414AD"/>
    <w:rsid w:val="00041508"/>
    <w:rsid w:val="00041902"/>
    <w:rsid w:val="00042A80"/>
    <w:rsid w:val="0004318C"/>
    <w:rsid w:val="00044FFE"/>
    <w:rsid w:val="00045EB8"/>
    <w:rsid w:val="000467C4"/>
    <w:rsid w:val="0004711A"/>
    <w:rsid w:val="0004729E"/>
    <w:rsid w:val="00047E0B"/>
    <w:rsid w:val="00050429"/>
    <w:rsid w:val="00050A8F"/>
    <w:rsid w:val="00052085"/>
    <w:rsid w:val="0005249C"/>
    <w:rsid w:val="0005267C"/>
    <w:rsid w:val="00053BC0"/>
    <w:rsid w:val="000549D8"/>
    <w:rsid w:val="00056018"/>
    <w:rsid w:val="0005653A"/>
    <w:rsid w:val="000570AE"/>
    <w:rsid w:val="000576FA"/>
    <w:rsid w:val="00057DC6"/>
    <w:rsid w:val="00060419"/>
    <w:rsid w:val="000610DB"/>
    <w:rsid w:val="00063C9B"/>
    <w:rsid w:val="00064A72"/>
    <w:rsid w:val="00065EBA"/>
    <w:rsid w:val="00066399"/>
    <w:rsid w:val="00066D71"/>
    <w:rsid w:val="00067871"/>
    <w:rsid w:val="00067A1A"/>
    <w:rsid w:val="00067E42"/>
    <w:rsid w:val="0007040D"/>
    <w:rsid w:val="000706F2"/>
    <w:rsid w:val="0007212C"/>
    <w:rsid w:val="0007274A"/>
    <w:rsid w:val="00073E4A"/>
    <w:rsid w:val="00073E8E"/>
    <w:rsid w:val="000744C3"/>
    <w:rsid w:val="000769AB"/>
    <w:rsid w:val="00077088"/>
    <w:rsid w:val="0008113F"/>
    <w:rsid w:val="000829C3"/>
    <w:rsid w:val="00082D44"/>
    <w:rsid w:val="00083E67"/>
    <w:rsid w:val="00083E6C"/>
    <w:rsid w:val="000842EE"/>
    <w:rsid w:val="00084BA0"/>
    <w:rsid w:val="00084CD8"/>
    <w:rsid w:val="00085181"/>
    <w:rsid w:val="000853E4"/>
    <w:rsid w:val="000854CC"/>
    <w:rsid w:val="00085917"/>
    <w:rsid w:val="00086AFE"/>
    <w:rsid w:val="00087E18"/>
    <w:rsid w:val="0009062C"/>
    <w:rsid w:val="000906F8"/>
    <w:rsid w:val="00090AC6"/>
    <w:rsid w:val="0009150B"/>
    <w:rsid w:val="0009191D"/>
    <w:rsid w:val="00092160"/>
    <w:rsid w:val="00093E9F"/>
    <w:rsid w:val="00094D4D"/>
    <w:rsid w:val="00094FCA"/>
    <w:rsid w:val="0009591F"/>
    <w:rsid w:val="00095B11"/>
    <w:rsid w:val="00097258"/>
    <w:rsid w:val="000A007F"/>
    <w:rsid w:val="000A04B0"/>
    <w:rsid w:val="000A0515"/>
    <w:rsid w:val="000A12AC"/>
    <w:rsid w:val="000A1421"/>
    <w:rsid w:val="000A1BDB"/>
    <w:rsid w:val="000A2142"/>
    <w:rsid w:val="000A24E9"/>
    <w:rsid w:val="000A27DE"/>
    <w:rsid w:val="000A2958"/>
    <w:rsid w:val="000A2EF1"/>
    <w:rsid w:val="000A44BB"/>
    <w:rsid w:val="000A60E3"/>
    <w:rsid w:val="000A78E8"/>
    <w:rsid w:val="000A7AD9"/>
    <w:rsid w:val="000A7C49"/>
    <w:rsid w:val="000A7EFE"/>
    <w:rsid w:val="000B002A"/>
    <w:rsid w:val="000B1593"/>
    <w:rsid w:val="000B2DAE"/>
    <w:rsid w:val="000B3A95"/>
    <w:rsid w:val="000B48AD"/>
    <w:rsid w:val="000B49FC"/>
    <w:rsid w:val="000B5136"/>
    <w:rsid w:val="000B630B"/>
    <w:rsid w:val="000B63F4"/>
    <w:rsid w:val="000B6BF2"/>
    <w:rsid w:val="000B6F51"/>
    <w:rsid w:val="000B708D"/>
    <w:rsid w:val="000B7497"/>
    <w:rsid w:val="000B7789"/>
    <w:rsid w:val="000C0219"/>
    <w:rsid w:val="000C0EF3"/>
    <w:rsid w:val="000C1BA0"/>
    <w:rsid w:val="000C29E2"/>
    <w:rsid w:val="000C3BA7"/>
    <w:rsid w:val="000C7508"/>
    <w:rsid w:val="000D0972"/>
    <w:rsid w:val="000D0B67"/>
    <w:rsid w:val="000D0D74"/>
    <w:rsid w:val="000D1077"/>
    <w:rsid w:val="000D1566"/>
    <w:rsid w:val="000D2B68"/>
    <w:rsid w:val="000D3A06"/>
    <w:rsid w:val="000D5A21"/>
    <w:rsid w:val="000D5DAB"/>
    <w:rsid w:val="000D677C"/>
    <w:rsid w:val="000D6AF9"/>
    <w:rsid w:val="000D74B6"/>
    <w:rsid w:val="000E0B36"/>
    <w:rsid w:val="000E12E8"/>
    <w:rsid w:val="000E1B2D"/>
    <w:rsid w:val="000E1F55"/>
    <w:rsid w:val="000E2E39"/>
    <w:rsid w:val="000E553F"/>
    <w:rsid w:val="000E5764"/>
    <w:rsid w:val="000E5A41"/>
    <w:rsid w:val="000F03EE"/>
    <w:rsid w:val="000F09A9"/>
    <w:rsid w:val="000F2BDB"/>
    <w:rsid w:val="000F46BF"/>
    <w:rsid w:val="000F471B"/>
    <w:rsid w:val="000F495E"/>
    <w:rsid w:val="000F7C73"/>
    <w:rsid w:val="0010026F"/>
    <w:rsid w:val="001007BF"/>
    <w:rsid w:val="00101B21"/>
    <w:rsid w:val="00101E38"/>
    <w:rsid w:val="001020E5"/>
    <w:rsid w:val="00102A4D"/>
    <w:rsid w:val="00102D09"/>
    <w:rsid w:val="00104627"/>
    <w:rsid w:val="001047C5"/>
    <w:rsid w:val="001055D8"/>
    <w:rsid w:val="001067B0"/>
    <w:rsid w:val="0010740B"/>
    <w:rsid w:val="00107B9A"/>
    <w:rsid w:val="00110048"/>
    <w:rsid w:val="00110555"/>
    <w:rsid w:val="001108B2"/>
    <w:rsid w:val="00112C3A"/>
    <w:rsid w:val="00112DA6"/>
    <w:rsid w:val="00113A08"/>
    <w:rsid w:val="00113DCF"/>
    <w:rsid w:val="0011401B"/>
    <w:rsid w:val="0011407B"/>
    <w:rsid w:val="001151C0"/>
    <w:rsid w:val="001157D3"/>
    <w:rsid w:val="001174EE"/>
    <w:rsid w:val="00117BE7"/>
    <w:rsid w:val="00120406"/>
    <w:rsid w:val="00120A7B"/>
    <w:rsid w:val="00121345"/>
    <w:rsid w:val="00121E2C"/>
    <w:rsid w:val="001244E7"/>
    <w:rsid w:val="00125146"/>
    <w:rsid w:val="0012538A"/>
    <w:rsid w:val="0012664B"/>
    <w:rsid w:val="00126CA2"/>
    <w:rsid w:val="00126EE5"/>
    <w:rsid w:val="00126F75"/>
    <w:rsid w:val="00127A38"/>
    <w:rsid w:val="001318D5"/>
    <w:rsid w:val="00131A88"/>
    <w:rsid w:val="00132BD6"/>
    <w:rsid w:val="00133075"/>
    <w:rsid w:val="00133196"/>
    <w:rsid w:val="0013392A"/>
    <w:rsid w:val="001339A9"/>
    <w:rsid w:val="0013443B"/>
    <w:rsid w:val="001360F6"/>
    <w:rsid w:val="00137217"/>
    <w:rsid w:val="00137FD4"/>
    <w:rsid w:val="001405AE"/>
    <w:rsid w:val="00140F4C"/>
    <w:rsid w:val="001425C0"/>
    <w:rsid w:val="00142B0C"/>
    <w:rsid w:val="00142B30"/>
    <w:rsid w:val="00142E13"/>
    <w:rsid w:val="00143D6F"/>
    <w:rsid w:val="00143E33"/>
    <w:rsid w:val="001443C2"/>
    <w:rsid w:val="0014463D"/>
    <w:rsid w:val="001447AF"/>
    <w:rsid w:val="00144902"/>
    <w:rsid w:val="00144B0B"/>
    <w:rsid w:val="00146B3E"/>
    <w:rsid w:val="00151549"/>
    <w:rsid w:val="0015263F"/>
    <w:rsid w:val="001528CF"/>
    <w:rsid w:val="0015399C"/>
    <w:rsid w:val="00153B8E"/>
    <w:rsid w:val="00153F64"/>
    <w:rsid w:val="0015415C"/>
    <w:rsid w:val="001546CD"/>
    <w:rsid w:val="00155780"/>
    <w:rsid w:val="00155A90"/>
    <w:rsid w:val="00155C27"/>
    <w:rsid w:val="00156ABB"/>
    <w:rsid w:val="001578CD"/>
    <w:rsid w:val="00161784"/>
    <w:rsid w:val="00161B32"/>
    <w:rsid w:val="00161DF6"/>
    <w:rsid w:val="00161F5C"/>
    <w:rsid w:val="00162620"/>
    <w:rsid w:val="00162B04"/>
    <w:rsid w:val="0016389F"/>
    <w:rsid w:val="00163CCD"/>
    <w:rsid w:val="00164BB6"/>
    <w:rsid w:val="00164E6A"/>
    <w:rsid w:val="00166561"/>
    <w:rsid w:val="00167AC4"/>
    <w:rsid w:val="00167AC6"/>
    <w:rsid w:val="001712C9"/>
    <w:rsid w:val="001717A1"/>
    <w:rsid w:val="00172D0D"/>
    <w:rsid w:val="00173CA9"/>
    <w:rsid w:val="00174E69"/>
    <w:rsid w:val="001751DC"/>
    <w:rsid w:val="0017560A"/>
    <w:rsid w:val="00176AA6"/>
    <w:rsid w:val="0017713D"/>
    <w:rsid w:val="00177D33"/>
    <w:rsid w:val="00177EAC"/>
    <w:rsid w:val="0018134D"/>
    <w:rsid w:val="00181424"/>
    <w:rsid w:val="00181580"/>
    <w:rsid w:val="00182A2E"/>
    <w:rsid w:val="00183201"/>
    <w:rsid w:val="0018408C"/>
    <w:rsid w:val="00184247"/>
    <w:rsid w:val="00184B7A"/>
    <w:rsid w:val="00184B92"/>
    <w:rsid w:val="00184DA6"/>
    <w:rsid w:val="00186EBB"/>
    <w:rsid w:val="001900DD"/>
    <w:rsid w:val="00190469"/>
    <w:rsid w:val="00191233"/>
    <w:rsid w:val="0019187A"/>
    <w:rsid w:val="001921B0"/>
    <w:rsid w:val="001929B3"/>
    <w:rsid w:val="00192D84"/>
    <w:rsid w:val="00192FA9"/>
    <w:rsid w:val="001934EA"/>
    <w:rsid w:val="00193CB7"/>
    <w:rsid w:val="00195225"/>
    <w:rsid w:val="0019637F"/>
    <w:rsid w:val="001A169D"/>
    <w:rsid w:val="001A1E67"/>
    <w:rsid w:val="001A2104"/>
    <w:rsid w:val="001A2CFD"/>
    <w:rsid w:val="001A2E06"/>
    <w:rsid w:val="001A3950"/>
    <w:rsid w:val="001A3E31"/>
    <w:rsid w:val="001A4535"/>
    <w:rsid w:val="001A4E23"/>
    <w:rsid w:val="001A58A4"/>
    <w:rsid w:val="001A58BE"/>
    <w:rsid w:val="001A604A"/>
    <w:rsid w:val="001A6099"/>
    <w:rsid w:val="001A6326"/>
    <w:rsid w:val="001A6D8C"/>
    <w:rsid w:val="001B01BF"/>
    <w:rsid w:val="001B0A96"/>
    <w:rsid w:val="001B2AC1"/>
    <w:rsid w:val="001B3563"/>
    <w:rsid w:val="001B3757"/>
    <w:rsid w:val="001B5F2C"/>
    <w:rsid w:val="001B62EB"/>
    <w:rsid w:val="001B6E38"/>
    <w:rsid w:val="001B6FAA"/>
    <w:rsid w:val="001B73C8"/>
    <w:rsid w:val="001B7416"/>
    <w:rsid w:val="001B745A"/>
    <w:rsid w:val="001B7A45"/>
    <w:rsid w:val="001B7E6B"/>
    <w:rsid w:val="001B7FB2"/>
    <w:rsid w:val="001C00C4"/>
    <w:rsid w:val="001C09BA"/>
    <w:rsid w:val="001C22C2"/>
    <w:rsid w:val="001C34D4"/>
    <w:rsid w:val="001C4B6C"/>
    <w:rsid w:val="001C5250"/>
    <w:rsid w:val="001C6049"/>
    <w:rsid w:val="001C6691"/>
    <w:rsid w:val="001C6BC6"/>
    <w:rsid w:val="001C6F58"/>
    <w:rsid w:val="001C6F7B"/>
    <w:rsid w:val="001C760D"/>
    <w:rsid w:val="001C78BF"/>
    <w:rsid w:val="001D1C8E"/>
    <w:rsid w:val="001D1D5E"/>
    <w:rsid w:val="001D2F40"/>
    <w:rsid w:val="001D3352"/>
    <w:rsid w:val="001D46FE"/>
    <w:rsid w:val="001D4F09"/>
    <w:rsid w:val="001D74B3"/>
    <w:rsid w:val="001D79BF"/>
    <w:rsid w:val="001E1104"/>
    <w:rsid w:val="001E1627"/>
    <w:rsid w:val="001E213D"/>
    <w:rsid w:val="001E2683"/>
    <w:rsid w:val="001E2878"/>
    <w:rsid w:val="001E3138"/>
    <w:rsid w:val="001E34E9"/>
    <w:rsid w:val="001E3D00"/>
    <w:rsid w:val="001E5A04"/>
    <w:rsid w:val="001E66E7"/>
    <w:rsid w:val="001E6786"/>
    <w:rsid w:val="001E78E9"/>
    <w:rsid w:val="001E7B76"/>
    <w:rsid w:val="001F047F"/>
    <w:rsid w:val="001F0A61"/>
    <w:rsid w:val="001F2E93"/>
    <w:rsid w:val="001F2F50"/>
    <w:rsid w:val="001F5067"/>
    <w:rsid w:val="001F53E8"/>
    <w:rsid w:val="001F5808"/>
    <w:rsid w:val="001F5A95"/>
    <w:rsid w:val="001F66A8"/>
    <w:rsid w:val="001F699B"/>
    <w:rsid w:val="001F6F54"/>
    <w:rsid w:val="001F7E44"/>
    <w:rsid w:val="002025AE"/>
    <w:rsid w:val="0020272B"/>
    <w:rsid w:val="00202853"/>
    <w:rsid w:val="00206024"/>
    <w:rsid w:val="00206563"/>
    <w:rsid w:val="00206DD5"/>
    <w:rsid w:val="00207AAA"/>
    <w:rsid w:val="00210B29"/>
    <w:rsid w:val="00211266"/>
    <w:rsid w:val="00211681"/>
    <w:rsid w:val="00211D23"/>
    <w:rsid w:val="00213567"/>
    <w:rsid w:val="00213608"/>
    <w:rsid w:val="002137FF"/>
    <w:rsid w:val="00213A90"/>
    <w:rsid w:val="00214659"/>
    <w:rsid w:val="0021473D"/>
    <w:rsid w:val="002151C3"/>
    <w:rsid w:val="00215A92"/>
    <w:rsid w:val="00217267"/>
    <w:rsid w:val="0021749E"/>
    <w:rsid w:val="002179B7"/>
    <w:rsid w:val="00217B2A"/>
    <w:rsid w:val="00217C95"/>
    <w:rsid w:val="00220369"/>
    <w:rsid w:val="0022100E"/>
    <w:rsid w:val="00221A5F"/>
    <w:rsid w:val="00223589"/>
    <w:rsid w:val="002235EC"/>
    <w:rsid w:val="00223B6F"/>
    <w:rsid w:val="00223D8B"/>
    <w:rsid w:val="0022413A"/>
    <w:rsid w:val="00224C61"/>
    <w:rsid w:val="00224DC9"/>
    <w:rsid w:val="002251A4"/>
    <w:rsid w:val="00225C3A"/>
    <w:rsid w:val="002262BA"/>
    <w:rsid w:val="002264F2"/>
    <w:rsid w:val="00226873"/>
    <w:rsid w:val="00226A53"/>
    <w:rsid w:val="002309DD"/>
    <w:rsid w:val="002314D1"/>
    <w:rsid w:val="002321E9"/>
    <w:rsid w:val="002325AD"/>
    <w:rsid w:val="00232698"/>
    <w:rsid w:val="00232CA7"/>
    <w:rsid w:val="002340F7"/>
    <w:rsid w:val="0023421C"/>
    <w:rsid w:val="00234661"/>
    <w:rsid w:val="0023606C"/>
    <w:rsid w:val="002364FD"/>
    <w:rsid w:val="00237402"/>
    <w:rsid w:val="00237444"/>
    <w:rsid w:val="002377B6"/>
    <w:rsid w:val="00237F2D"/>
    <w:rsid w:val="00240ED2"/>
    <w:rsid w:val="002421EB"/>
    <w:rsid w:val="002428DE"/>
    <w:rsid w:val="00242C1C"/>
    <w:rsid w:val="00242F5C"/>
    <w:rsid w:val="0024366E"/>
    <w:rsid w:val="00243CEA"/>
    <w:rsid w:val="00244A9C"/>
    <w:rsid w:val="0024507B"/>
    <w:rsid w:val="00245375"/>
    <w:rsid w:val="00246363"/>
    <w:rsid w:val="0024689B"/>
    <w:rsid w:val="00246ED7"/>
    <w:rsid w:val="0024714D"/>
    <w:rsid w:val="0025072F"/>
    <w:rsid w:val="002508AA"/>
    <w:rsid w:val="00251243"/>
    <w:rsid w:val="0025128D"/>
    <w:rsid w:val="00251ABF"/>
    <w:rsid w:val="002527A6"/>
    <w:rsid w:val="00253324"/>
    <w:rsid w:val="00254659"/>
    <w:rsid w:val="00254B63"/>
    <w:rsid w:val="00254C2B"/>
    <w:rsid w:val="002562CF"/>
    <w:rsid w:val="002570F8"/>
    <w:rsid w:val="002601C8"/>
    <w:rsid w:val="00261050"/>
    <w:rsid w:val="002613C1"/>
    <w:rsid w:val="00262139"/>
    <w:rsid w:val="0026241F"/>
    <w:rsid w:val="0026392E"/>
    <w:rsid w:val="00264163"/>
    <w:rsid w:val="00264713"/>
    <w:rsid w:val="00266AB2"/>
    <w:rsid w:val="00266DDE"/>
    <w:rsid w:val="0027020B"/>
    <w:rsid w:val="00271D63"/>
    <w:rsid w:val="00271D69"/>
    <w:rsid w:val="002734BF"/>
    <w:rsid w:val="00276048"/>
    <w:rsid w:val="00276BD7"/>
    <w:rsid w:val="0028021F"/>
    <w:rsid w:val="00282EC0"/>
    <w:rsid w:val="002844F7"/>
    <w:rsid w:val="002846E9"/>
    <w:rsid w:val="00284839"/>
    <w:rsid w:val="00286FB0"/>
    <w:rsid w:val="002874B2"/>
    <w:rsid w:val="00290261"/>
    <w:rsid w:val="00290485"/>
    <w:rsid w:val="00290BD1"/>
    <w:rsid w:val="00290D51"/>
    <w:rsid w:val="0029111F"/>
    <w:rsid w:val="00291C57"/>
    <w:rsid w:val="00292A24"/>
    <w:rsid w:val="00293A69"/>
    <w:rsid w:val="00293ED9"/>
    <w:rsid w:val="0029439F"/>
    <w:rsid w:val="0029464A"/>
    <w:rsid w:val="00294E18"/>
    <w:rsid w:val="00294EF5"/>
    <w:rsid w:val="00295A42"/>
    <w:rsid w:val="00295AA2"/>
    <w:rsid w:val="00295ADE"/>
    <w:rsid w:val="002963B2"/>
    <w:rsid w:val="0029661F"/>
    <w:rsid w:val="00296D31"/>
    <w:rsid w:val="00297604"/>
    <w:rsid w:val="002979A1"/>
    <w:rsid w:val="002979E4"/>
    <w:rsid w:val="00297CCB"/>
    <w:rsid w:val="002A010D"/>
    <w:rsid w:val="002A036C"/>
    <w:rsid w:val="002A1FD3"/>
    <w:rsid w:val="002A2271"/>
    <w:rsid w:val="002A2442"/>
    <w:rsid w:val="002A25C0"/>
    <w:rsid w:val="002A2DBD"/>
    <w:rsid w:val="002A379C"/>
    <w:rsid w:val="002A42CA"/>
    <w:rsid w:val="002A4E3D"/>
    <w:rsid w:val="002A5F80"/>
    <w:rsid w:val="002A6946"/>
    <w:rsid w:val="002B0C1C"/>
    <w:rsid w:val="002B0F22"/>
    <w:rsid w:val="002B1BD5"/>
    <w:rsid w:val="002B266A"/>
    <w:rsid w:val="002B369C"/>
    <w:rsid w:val="002B374F"/>
    <w:rsid w:val="002B5538"/>
    <w:rsid w:val="002B5DF3"/>
    <w:rsid w:val="002B5E6C"/>
    <w:rsid w:val="002B6DE7"/>
    <w:rsid w:val="002C1123"/>
    <w:rsid w:val="002C252B"/>
    <w:rsid w:val="002C31AE"/>
    <w:rsid w:val="002C3890"/>
    <w:rsid w:val="002C3F34"/>
    <w:rsid w:val="002C5022"/>
    <w:rsid w:val="002C52E1"/>
    <w:rsid w:val="002C5339"/>
    <w:rsid w:val="002C53A3"/>
    <w:rsid w:val="002C5CE0"/>
    <w:rsid w:val="002C6D19"/>
    <w:rsid w:val="002D0140"/>
    <w:rsid w:val="002D0A9E"/>
    <w:rsid w:val="002D16C8"/>
    <w:rsid w:val="002D298E"/>
    <w:rsid w:val="002D2A3F"/>
    <w:rsid w:val="002D2EFA"/>
    <w:rsid w:val="002D49DB"/>
    <w:rsid w:val="002D4E1E"/>
    <w:rsid w:val="002D5705"/>
    <w:rsid w:val="002D71E5"/>
    <w:rsid w:val="002D7CDD"/>
    <w:rsid w:val="002E06C7"/>
    <w:rsid w:val="002E2456"/>
    <w:rsid w:val="002E283A"/>
    <w:rsid w:val="002E2CB1"/>
    <w:rsid w:val="002E34D5"/>
    <w:rsid w:val="002E3530"/>
    <w:rsid w:val="002E3B23"/>
    <w:rsid w:val="002E3C64"/>
    <w:rsid w:val="002E4363"/>
    <w:rsid w:val="002E4880"/>
    <w:rsid w:val="002E4CD6"/>
    <w:rsid w:val="002E4D67"/>
    <w:rsid w:val="002E59A2"/>
    <w:rsid w:val="002E5CD8"/>
    <w:rsid w:val="002E6D98"/>
    <w:rsid w:val="002E70AF"/>
    <w:rsid w:val="002F077F"/>
    <w:rsid w:val="002F0A97"/>
    <w:rsid w:val="002F0BE0"/>
    <w:rsid w:val="002F0E1B"/>
    <w:rsid w:val="002F0E80"/>
    <w:rsid w:val="002F15AB"/>
    <w:rsid w:val="002F2913"/>
    <w:rsid w:val="002F39D7"/>
    <w:rsid w:val="002F4B40"/>
    <w:rsid w:val="002F4E6E"/>
    <w:rsid w:val="002F54ED"/>
    <w:rsid w:val="002F5753"/>
    <w:rsid w:val="002F639F"/>
    <w:rsid w:val="002F6869"/>
    <w:rsid w:val="002F6C65"/>
    <w:rsid w:val="002F7082"/>
    <w:rsid w:val="002F72CA"/>
    <w:rsid w:val="002F7D67"/>
    <w:rsid w:val="003018E4"/>
    <w:rsid w:val="00303310"/>
    <w:rsid w:val="00303CAF"/>
    <w:rsid w:val="00303EB7"/>
    <w:rsid w:val="00303F5E"/>
    <w:rsid w:val="0030604C"/>
    <w:rsid w:val="00306B78"/>
    <w:rsid w:val="0031003B"/>
    <w:rsid w:val="0031009C"/>
    <w:rsid w:val="0031021C"/>
    <w:rsid w:val="00310C6B"/>
    <w:rsid w:val="00310E61"/>
    <w:rsid w:val="00310F44"/>
    <w:rsid w:val="0031107C"/>
    <w:rsid w:val="003120D3"/>
    <w:rsid w:val="00312ADA"/>
    <w:rsid w:val="00314F68"/>
    <w:rsid w:val="003150B0"/>
    <w:rsid w:val="00315470"/>
    <w:rsid w:val="00315500"/>
    <w:rsid w:val="00315EA5"/>
    <w:rsid w:val="0031601F"/>
    <w:rsid w:val="003163E4"/>
    <w:rsid w:val="00316594"/>
    <w:rsid w:val="00317E78"/>
    <w:rsid w:val="00317F9F"/>
    <w:rsid w:val="003212B9"/>
    <w:rsid w:val="00321752"/>
    <w:rsid w:val="003228F6"/>
    <w:rsid w:val="00322BB4"/>
    <w:rsid w:val="00326730"/>
    <w:rsid w:val="00330554"/>
    <w:rsid w:val="003321BA"/>
    <w:rsid w:val="003321C2"/>
    <w:rsid w:val="00332FDD"/>
    <w:rsid w:val="0033303E"/>
    <w:rsid w:val="00333D9F"/>
    <w:rsid w:val="003340F0"/>
    <w:rsid w:val="00334705"/>
    <w:rsid w:val="00334A05"/>
    <w:rsid w:val="00336289"/>
    <w:rsid w:val="00337234"/>
    <w:rsid w:val="00337B64"/>
    <w:rsid w:val="00340DC7"/>
    <w:rsid w:val="0034208F"/>
    <w:rsid w:val="0034225B"/>
    <w:rsid w:val="0034238F"/>
    <w:rsid w:val="003427B1"/>
    <w:rsid w:val="003431D3"/>
    <w:rsid w:val="00343501"/>
    <w:rsid w:val="00343669"/>
    <w:rsid w:val="0034420F"/>
    <w:rsid w:val="00344358"/>
    <w:rsid w:val="00344751"/>
    <w:rsid w:val="00345562"/>
    <w:rsid w:val="00345C7E"/>
    <w:rsid w:val="00345E37"/>
    <w:rsid w:val="00345F14"/>
    <w:rsid w:val="00346620"/>
    <w:rsid w:val="00346671"/>
    <w:rsid w:val="00346FF3"/>
    <w:rsid w:val="00350778"/>
    <w:rsid w:val="00352CDF"/>
    <w:rsid w:val="0035399A"/>
    <w:rsid w:val="003540BA"/>
    <w:rsid w:val="00354EF4"/>
    <w:rsid w:val="003554D6"/>
    <w:rsid w:val="00355ACC"/>
    <w:rsid w:val="00355FFE"/>
    <w:rsid w:val="003561CA"/>
    <w:rsid w:val="0035653B"/>
    <w:rsid w:val="00357209"/>
    <w:rsid w:val="00357674"/>
    <w:rsid w:val="003579B0"/>
    <w:rsid w:val="00357D66"/>
    <w:rsid w:val="0036001E"/>
    <w:rsid w:val="003607B7"/>
    <w:rsid w:val="003618DE"/>
    <w:rsid w:val="003619B9"/>
    <w:rsid w:val="003620E4"/>
    <w:rsid w:val="0036262F"/>
    <w:rsid w:val="00362E18"/>
    <w:rsid w:val="0036355B"/>
    <w:rsid w:val="00363787"/>
    <w:rsid w:val="003637E1"/>
    <w:rsid w:val="00363E0E"/>
    <w:rsid w:val="00363E72"/>
    <w:rsid w:val="003649B0"/>
    <w:rsid w:val="00365777"/>
    <w:rsid w:val="00365A7A"/>
    <w:rsid w:val="00365BAB"/>
    <w:rsid w:val="003679BA"/>
    <w:rsid w:val="00367CFF"/>
    <w:rsid w:val="00367FA0"/>
    <w:rsid w:val="0037142D"/>
    <w:rsid w:val="003718DE"/>
    <w:rsid w:val="00372FDB"/>
    <w:rsid w:val="00373185"/>
    <w:rsid w:val="00375227"/>
    <w:rsid w:val="003752DE"/>
    <w:rsid w:val="003756AE"/>
    <w:rsid w:val="00376087"/>
    <w:rsid w:val="0037650B"/>
    <w:rsid w:val="00376BE8"/>
    <w:rsid w:val="003772B9"/>
    <w:rsid w:val="0038026E"/>
    <w:rsid w:val="003813A8"/>
    <w:rsid w:val="00382EC0"/>
    <w:rsid w:val="00383044"/>
    <w:rsid w:val="00384610"/>
    <w:rsid w:val="00384E01"/>
    <w:rsid w:val="00384F7E"/>
    <w:rsid w:val="00385337"/>
    <w:rsid w:val="003859EE"/>
    <w:rsid w:val="00385E82"/>
    <w:rsid w:val="00386535"/>
    <w:rsid w:val="00387B3F"/>
    <w:rsid w:val="00390362"/>
    <w:rsid w:val="0039081A"/>
    <w:rsid w:val="00390B92"/>
    <w:rsid w:val="003922D9"/>
    <w:rsid w:val="00392AF3"/>
    <w:rsid w:val="00393201"/>
    <w:rsid w:val="003937C0"/>
    <w:rsid w:val="00393D39"/>
    <w:rsid w:val="00394385"/>
    <w:rsid w:val="00394450"/>
    <w:rsid w:val="00394CDC"/>
    <w:rsid w:val="00395532"/>
    <w:rsid w:val="0039656B"/>
    <w:rsid w:val="003A0225"/>
    <w:rsid w:val="003A34DE"/>
    <w:rsid w:val="003A37F4"/>
    <w:rsid w:val="003A44B2"/>
    <w:rsid w:val="003A4EDC"/>
    <w:rsid w:val="003A523E"/>
    <w:rsid w:val="003A5559"/>
    <w:rsid w:val="003A5740"/>
    <w:rsid w:val="003A5DE3"/>
    <w:rsid w:val="003A5E40"/>
    <w:rsid w:val="003A66A1"/>
    <w:rsid w:val="003A6F62"/>
    <w:rsid w:val="003A7B4F"/>
    <w:rsid w:val="003B05FA"/>
    <w:rsid w:val="003B0F91"/>
    <w:rsid w:val="003B105C"/>
    <w:rsid w:val="003B180A"/>
    <w:rsid w:val="003B1D99"/>
    <w:rsid w:val="003B33E5"/>
    <w:rsid w:val="003B34F0"/>
    <w:rsid w:val="003B4156"/>
    <w:rsid w:val="003B4FF7"/>
    <w:rsid w:val="003B5262"/>
    <w:rsid w:val="003B62FA"/>
    <w:rsid w:val="003B76F4"/>
    <w:rsid w:val="003B7CE6"/>
    <w:rsid w:val="003C12B9"/>
    <w:rsid w:val="003C22CE"/>
    <w:rsid w:val="003C2D59"/>
    <w:rsid w:val="003C3A1F"/>
    <w:rsid w:val="003C3D54"/>
    <w:rsid w:val="003C4996"/>
    <w:rsid w:val="003C5805"/>
    <w:rsid w:val="003C62C8"/>
    <w:rsid w:val="003C7D0C"/>
    <w:rsid w:val="003D04B9"/>
    <w:rsid w:val="003D0935"/>
    <w:rsid w:val="003D0E44"/>
    <w:rsid w:val="003D14FF"/>
    <w:rsid w:val="003D19C1"/>
    <w:rsid w:val="003D29C4"/>
    <w:rsid w:val="003D2AC8"/>
    <w:rsid w:val="003D3843"/>
    <w:rsid w:val="003D598B"/>
    <w:rsid w:val="003E1785"/>
    <w:rsid w:val="003E1B9D"/>
    <w:rsid w:val="003E272D"/>
    <w:rsid w:val="003E281B"/>
    <w:rsid w:val="003E3785"/>
    <w:rsid w:val="003E3977"/>
    <w:rsid w:val="003E44AA"/>
    <w:rsid w:val="003E4879"/>
    <w:rsid w:val="003E5729"/>
    <w:rsid w:val="003E5810"/>
    <w:rsid w:val="003E5B71"/>
    <w:rsid w:val="003E5C0C"/>
    <w:rsid w:val="003E5CC4"/>
    <w:rsid w:val="003E629D"/>
    <w:rsid w:val="003E670E"/>
    <w:rsid w:val="003E6DD5"/>
    <w:rsid w:val="003E71BD"/>
    <w:rsid w:val="003E7972"/>
    <w:rsid w:val="003E7E1A"/>
    <w:rsid w:val="003E7E2A"/>
    <w:rsid w:val="003F0D7F"/>
    <w:rsid w:val="003F0DCD"/>
    <w:rsid w:val="003F127C"/>
    <w:rsid w:val="003F134A"/>
    <w:rsid w:val="003F260E"/>
    <w:rsid w:val="003F2793"/>
    <w:rsid w:val="003F2A69"/>
    <w:rsid w:val="003F31FC"/>
    <w:rsid w:val="003F3B61"/>
    <w:rsid w:val="003F4473"/>
    <w:rsid w:val="003F4B61"/>
    <w:rsid w:val="003F5F56"/>
    <w:rsid w:val="003F6457"/>
    <w:rsid w:val="003F7422"/>
    <w:rsid w:val="003FCECD"/>
    <w:rsid w:val="0040029E"/>
    <w:rsid w:val="004018D2"/>
    <w:rsid w:val="004018FF"/>
    <w:rsid w:val="00401D5C"/>
    <w:rsid w:val="00402377"/>
    <w:rsid w:val="004023D2"/>
    <w:rsid w:val="004025B8"/>
    <w:rsid w:val="004026D9"/>
    <w:rsid w:val="00403261"/>
    <w:rsid w:val="00403C8D"/>
    <w:rsid w:val="004041BD"/>
    <w:rsid w:val="00404FD0"/>
    <w:rsid w:val="0040521E"/>
    <w:rsid w:val="004052B4"/>
    <w:rsid w:val="00406BF6"/>
    <w:rsid w:val="00407965"/>
    <w:rsid w:val="004079D8"/>
    <w:rsid w:val="00407A62"/>
    <w:rsid w:val="00410326"/>
    <w:rsid w:val="00410BCC"/>
    <w:rsid w:val="00411014"/>
    <w:rsid w:val="00411796"/>
    <w:rsid w:val="00411869"/>
    <w:rsid w:val="00411E2C"/>
    <w:rsid w:val="00412202"/>
    <w:rsid w:val="00412475"/>
    <w:rsid w:val="00412C3B"/>
    <w:rsid w:val="00413407"/>
    <w:rsid w:val="00413971"/>
    <w:rsid w:val="00415BA4"/>
    <w:rsid w:val="00417087"/>
    <w:rsid w:val="00417C10"/>
    <w:rsid w:val="00420C78"/>
    <w:rsid w:val="00420E91"/>
    <w:rsid w:val="00421202"/>
    <w:rsid w:val="004222C2"/>
    <w:rsid w:val="00422BE3"/>
    <w:rsid w:val="0042370B"/>
    <w:rsid w:val="00423737"/>
    <w:rsid w:val="00423AC0"/>
    <w:rsid w:val="00423BEA"/>
    <w:rsid w:val="0042431B"/>
    <w:rsid w:val="004246F8"/>
    <w:rsid w:val="00425584"/>
    <w:rsid w:val="00425879"/>
    <w:rsid w:val="0042587B"/>
    <w:rsid w:val="0042790B"/>
    <w:rsid w:val="004322B7"/>
    <w:rsid w:val="0043338C"/>
    <w:rsid w:val="00433B5D"/>
    <w:rsid w:val="00433C34"/>
    <w:rsid w:val="00434108"/>
    <w:rsid w:val="00434754"/>
    <w:rsid w:val="00434EDF"/>
    <w:rsid w:val="00435B0C"/>
    <w:rsid w:val="004360BF"/>
    <w:rsid w:val="00436976"/>
    <w:rsid w:val="00436EC2"/>
    <w:rsid w:val="00437DDF"/>
    <w:rsid w:val="004406A3"/>
    <w:rsid w:val="004418BE"/>
    <w:rsid w:val="00442B09"/>
    <w:rsid w:val="004446CC"/>
    <w:rsid w:val="00445292"/>
    <w:rsid w:val="00445F1D"/>
    <w:rsid w:val="004460A3"/>
    <w:rsid w:val="00446EAC"/>
    <w:rsid w:val="00450C3B"/>
    <w:rsid w:val="00452C0C"/>
    <w:rsid w:val="00452D22"/>
    <w:rsid w:val="00453913"/>
    <w:rsid w:val="004546EB"/>
    <w:rsid w:val="00454BA0"/>
    <w:rsid w:val="004566D0"/>
    <w:rsid w:val="00457F66"/>
    <w:rsid w:val="004604C0"/>
    <w:rsid w:val="004606FC"/>
    <w:rsid w:val="004607F7"/>
    <w:rsid w:val="00461179"/>
    <w:rsid w:val="0046126D"/>
    <w:rsid w:val="00461A78"/>
    <w:rsid w:val="00461CB9"/>
    <w:rsid w:val="00462256"/>
    <w:rsid w:val="00463672"/>
    <w:rsid w:val="00463F17"/>
    <w:rsid w:val="00464AE3"/>
    <w:rsid w:val="0046513F"/>
    <w:rsid w:val="00465325"/>
    <w:rsid w:val="004655F1"/>
    <w:rsid w:val="00465F99"/>
    <w:rsid w:val="004662CC"/>
    <w:rsid w:val="00471977"/>
    <w:rsid w:val="004722FB"/>
    <w:rsid w:val="00472342"/>
    <w:rsid w:val="004745EF"/>
    <w:rsid w:val="00474626"/>
    <w:rsid w:val="00474D7B"/>
    <w:rsid w:val="004753AB"/>
    <w:rsid w:val="004758A1"/>
    <w:rsid w:val="00475C1F"/>
    <w:rsid w:val="00477EAD"/>
    <w:rsid w:val="00480207"/>
    <w:rsid w:val="00480610"/>
    <w:rsid w:val="0048083F"/>
    <w:rsid w:val="00481F7F"/>
    <w:rsid w:val="00482805"/>
    <w:rsid w:val="004830B0"/>
    <w:rsid w:val="00483489"/>
    <w:rsid w:val="00484072"/>
    <w:rsid w:val="004848BC"/>
    <w:rsid w:val="004863DA"/>
    <w:rsid w:val="00486B0E"/>
    <w:rsid w:val="0048726C"/>
    <w:rsid w:val="00490055"/>
    <w:rsid w:val="00490A6A"/>
    <w:rsid w:val="00491569"/>
    <w:rsid w:val="00492B25"/>
    <w:rsid w:val="00493FE0"/>
    <w:rsid w:val="00494F03"/>
    <w:rsid w:val="00495006"/>
    <w:rsid w:val="0049545F"/>
    <w:rsid w:val="0049569D"/>
    <w:rsid w:val="0049571F"/>
    <w:rsid w:val="0049616D"/>
    <w:rsid w:val="00496908"/>
    <w:rsid w:val="00497252"/>
    <w:rsid w:val="00497AEA"/>
    <w:rsid w:val="00497E34"/>
    <w:rsid w:val="004A01B4"/>
    <w:rsid w:val="004A0419"/>
    <w:rsid w:val="004A06D6"/>
    <w:rsid w:val="004A0CC0"/>
    <w:rsid w:val="004A2A69"/>
    <w:rsid w:val="004A3109"/>
    <w:rsid w:val="004A3449"/>
    <w:rsid w:val="004A408C"/>
    <w:rsid w:val="004A5970"/>
    <w:rsid w:val="004A5EFD"/>
    <w:rsid w:val="004A7902"/>
    <w:rsid w:val="004A7F84"/>
    <w:rsid w:val="004B02B7"/>
    <w:rsid w:val="004B08D4"/>
    <w:rsid w:val="004B15E3"/>
    <w:rsid w:val="004B1C7C"/>
    <w:rsid w:val="004B1E07"/>
    <w:rsid w:val="004B247E"/>
    <w:rsid w:val="004B303F"/>
    <w:rsid w:val="004B4412"/>
    <w:rsid w:val="004B4621"/>
    <w:rsid w:val="004B4FB6"/>
    <w:rsid w:val="004B5228"/>
    <w:rsid w:val="004B5ED1"/>
    <w:rsid w:val="004B6751"/>
    <w:rsid w:val="004B749D"/>
    <w:rsid w:val="004B74EB"/>
    <w:rsid w:val="004B75F4"/>
    <w:rsid w:val="004B7FB7"/>
    <w:rsid w:val="004C08CB"/>
    <w:rsid w:val="004C1877"/>
    <w:rsid w:val="004C1CC4"/>
    <w:rsid w:val="004C2375"/>
    <w:rsid w:val="004C23AB"/>
    <w:rsid w:val="004C2925"/>
    <w:rsid w:val="004C29E0"/>
    <w:rsid w:val="004C2C8D"/>
    <w:rsid w:val="004C2CE2"/>
    <w:rsid w:val="004C2F55"/>
    <w:rsid w:val="004C3FA1"/>
    <w:rsid w:val="004C4668"/>
    <w:rsid w:val="004C5122"/>
    <w:rsid w:val="004C567C"/>
    <w:rsid w:val="004C58CC"/>
    <w:rsid w:val="004C6694"/>
    <w:rsid w:val="004C71E4"/>
    <w:rsid w:val="004C76A4"/>
    <w:rsid w:val="004C7952"/>
    <w:rsid w:val="004D0202"/>
    <w:rsid w:val="004D1270"/>
    <w:rsid w:val="004D1C4D"/>
    <w:rsid w:val="004D26C3"/>
    <w:rsid w:val="004D27C0"/>
    <w:rsid w:val="004D2BD9"/>
    <w:rsid w:val="004D31E4"/>
    <w:rsid w:val="004D33EE"/>
    <w:rsid w:val="004D3951"/>
    <w:rsid w:val="004D4846"/>
    <w:rsid w:val="004D54FB"/>
    <w:rsid w:val="004D6589"/>
    <w:rsid w:val="004D7A87"/>
    <w:rsid w:val="004E0578"/>
    <w:rsid w:val="004E07DB"/>
    <w:rsid w:val="004E17E4"/>
    <w:rsid w:val="004E4386"/>
    <w:rsid w:val="004E4472"/>
    <w:rsid w:val="004E73B8"/>
    <w:rsid w:val="004E77C9"/>
    <w:rsid w:val="004E78D6"/>
    <w:rsid w:val="004F00A0"/>
    <w:rsid w:val="004F0180"/>
    <w:rsid w:val="004F19EC"/>
    <w:rsid w:val="004F3591"/>
    <w:rsid w:val="004F42D6"/>
    <w:rsid w:val="004F5C35"/>
    <w:rsid w:val="004F6A8B"/>
    <w:rsid w:val="004F6B40"/>
    <w:rsid w:val="00500990"/>
    <w:rsid w:val="005010DF"/>
    <w:rsid w:val="00501A9E"/>
    <w:rsid w:val="00502468"/>
    <w:rsid w:val="005024AB"/>
    <w:rsid w:val="005024F0"/>
    <w:rsid w:val="0050300C"/>
    <w:rsid w:val="005033F0"/>
    <w:rsid w:val="00503622"/>
    <w:rsid w:val="00503B4F"/>
    <w:rsid w:val="00503F51"/>
    <w:rsid w:val="00503FEE"/>
    <w:rsid w:val="00506D75"/>
    <w:rsid w:val="0050776A"/>
    <w:rsid w:val="00510F1A"/>
    <w:rsid w:val="00511681"/>
    <w:rsid w:val="00512D27"/>
    <w:rsid w:val="00513BB3"/>
    <w:rsid w:val="005153DA"/>
    <w:rsid w:val="00515436"/>
    <w:rsid w:val="00515616"/>
    <w:rsid w:val="00515988"/>
    <w:rsid w:val="00516CA8"/>
    <w:rsid w:val="005173AC"/>
    <w:rsid w:val="0051741F"/>
    <w:rsid w:val="00517D6B"/>
    <w:rsid w:val="00522B52"/>
    <w:rsid w:val="00523192"/>
    <w:rsid w:val="0052340E"/>
    <w:rsid w:val="0052457D"/>
    <w:rsid w:val="00524A91"/>
    <w:rsid w:val="00526555"/>
    <w:rsid w:val="00526B27"/>
    <w:rsid w:val="005272CF"/>
    <w:rsid w:val="00527B1A"/>
    <w:rsid w:val="0053109B"/>
    <w:rsid w:val="00534305"/>
    <w:rsid w:val="0053471C"/>
    <w:rsid w:val="00534E0E"/>
    <w:rsid w:val="0053580C"/>
    <w:rsid w:val="0053675B"/>
    <w:rsid w:val="00536D64"/>
    <w:rsid w:val="00540FB9"/>
    <w:rsid w:val="00541219"/>
    <w:rsid w:val="005412D1"/>
    <w:rsid w:val="005421A9"/>
    <w:rsid w:val="00542C71"/>
    <w:rsid w:val="0054323A"/>
    <w:rsid w:val="00544833"/>
    <w:rsid w:val="0054513B"/>
    <w:rsid w:val="005462E3"/>
    <w:rsid w:val="00546E10"/>
    <w:rsid w:val="00547391"/>
    <w:rsid w:val="00547661"/>
    <w:rsid w:val="00547A72"/>
    <w:rsid w:val="00550C12"/>
    <w:rsid w:val="00550C4E"/>
    <w:rsid w:val="00550E1A"/>
    <w:rsid w:val="00552838"/>
    <w:rsid w:val="00552ACA"/>
    <w:rsid w:val="0055719E"/>
    <w:rsid w:val="00557558"/>
    <w:rsid w:val="00557AE3"/>
    <w:rsid w:val="00557BD9"/>
    <w:rsid w:val="00557EDD"/>
    <w:rsid w:val="0056023D"/>
    <w:rsid w:val="00560F5C"/>
    <w:rsid w:val="00561592"/>
    <w:rsid w:val="005617E6"/>
    <w:rsid w:val="005625EA"/>
    <w:rsid w:val="005634D5"/>
    <w:rsid w:val="005639E6"/>
    <w:rsid w:val="00563C6A"/>
    <w:rsid w:val="005647BD"/>
    <w:rsid w:val="005658A4"/>
    <w:rsid w:val="00565A59"/>
    <w:rsid w:val="0056636B"/>
    <w:rsid w:val="005663AB"/>
    <w:rsid w:val="00567169"/>
    <w:rsid w:val="005677C5"/>
    <w:rsid w:val="00567A84"/>
    <w:rsid w:val="00567F8C"/>
    <w:rsid w:val="00570023"/>
    <w:rsid w:val="00570E2B"/>
    <w:rsid w:val="005714DC"/>
    <w:rsid w:val="00573466"/>
    <w:rsid w:val="00573A82"/>
    <w:rsid w:val="005740D4"/>
    <w:rsid w:val="00574563"/>
    <w:rsid w:val="005748CB"/>
    <w:rsid w:val="005760B4"/>
    <w:rsid w:val="00576164"/>
    <w:rsid w:val="005771DB"/>
    <w:rsid w:val="0058096F"/>
    <w:rsid w:val="00580D5B"/>
    <w:rsid w:val="00581247"/>
    <w:rsid w:val="00581D9D"/>
    <w:rsid w:val="005820D0"/>
    <w:rsid w:val="005827DB"/>
    <w:rsid w:val="00582C94"/>
    <w:rsid w:val="005833E5"/>
    <w:rsid w:val="005834E6"/>
    <w:rsid w:val="00583869"/>
    <w:rsid w:val="00586BCE"/>
    <w:rsid w:val="00587A52"/>
    <w:rsid w:val="005909EC"/>
    <w:rsid w:val="00590C29"/>
    <w:rsid w:val="00591327"/>
    <w:rsid w:val="0059194D"/>
    <w:rsid w:val="0059217C"/>
    <w:rsid w:val="005922A5"/>
    <w:rsid w:val="005929A0"/>
    <w:rsid w:val="00592D9F"/>
    <w:rsid w:val="00593A78"/>
    <w:rsid w:val="005941EA"/>
    <w:rsid w:val="00596DBC"/>
    <w:rsid w:val="00597D77"/>
    <w:rsid w:val="005A0759"/>
    <w:rsid w:val="005A096C"/>
    <w:rsid w:val="005A1759"/>
    <w:rsid w:val="005A2640"/>
    <w:rsid w:val="005A4FA6"/>
    <w:rsid w:val="005A5698"/>
    <w:rsid w:val="005A6A52"/>
    <w:rsid w:val="005A6B23"/>
    <w:rsid w:val="005A6C0C"/>
    <w:rsid w:val="005A6CE6"/>
    <w:rsid w:val="005A7240"/>
    <w:rsid w:val="005A752D"/>
    <w:rsid w:val="005A754D"/>
    <w:rsid w:val="005B0374"/>
    <w:rsid w:val="005B12D3"/>
    <w:rsid w:val="005B21CD"/>
    <w:rsid w:val="005B3B4D"/>
    <w:rsid w:val="005B41E8"/>
    <w:rsid w:val="005B5611"/>
    <w:rsid w:val="005B5AA9"/>
    <w:rsid w:val="005B5D1D"/>
    <w:rsid w:val="005B68FA"/>
    <w:rsid w:val="005C1A9F"/>
    <w:rsid w:val="005C1FFC"/>
    <w:rsid w:val="005C20CC"/>
    <w:rsid w:val="005C3723"/>
    <w:rsid w:val="005C45CA"/>
    <w:rsid w:val="005C491B"/>
    <w:rsid w:val="005C575D"/>
    <w:rsid w:val="005C6655"/>
    <w:rsid w:val="005C6AE7"/>
    <w:rsid w:val="005C735F"/>
    <w:rsid w:val="005C7965"/>
    <w:rsid w:val="005D090F"/>
    <w:rsid w:val="005D16A1"/>
    <w:rsid w:val="005D1EDE"/>
    <w:rsid w:val="005D25DC"/>
    <w:rsid w:val="005D270B"/>
    <w:rsid w:val="005D2975"/>
    <w:rsid w:val="005D2E57"/>
    <w:rsid w:val="005D2F87"/>
    <w:rsid w:val="005D4174"/>
    <w:rsid w:val="005D4328"/>
    <w:rsid w:val="005D5DE1"/>
    <w:rsid w:val="005D5FA3"/>
    <w:rsid w:val="005D65A8"/>
    <w:rsid w:val="005D66C0"/>
    <w:rsid w:val="005D67ED"/>
    <w:rsid w:val="005E07F9"/>
    <w:rsid w:val="005E0889"/>
    <w:rsid w:val="005E0D39"/>
    <w:rsid w:val="005E30AE"/>
    <w:rsid w:val="005E348C"/>
    <w:rsid w:val="005E3EFE"/>
    <w:rsid w:val="005E3F35"/>
    <w:rsid w:val="005E464D"/>
    <w:rsid w:val="005E61A7"/>
    <w:rsid w:val="005E6FAB"/>
    <w:rsid w:val="005F11D9"/>
    <w:rsid w:val="005F27B6"/>
    <w:rsid w:val="005F2863"/>
    <w:rsid w:val="005F288A"/>
    <w:rsid w:val="005F3B33"/>
    <w:rsid w:val="005F44E2"/>
    <w:rsid w:val="005F47C2"/>
    <w:rsid w:val="005F4FA6"/>
    <w:rsid w:val="005F57A0"/>
    <w:rsid w:val="005F58B2"/>
    <w:rsid w:val="005F5AFD"/>
    <w:rsid w:val="005F632B"/>
    <w:rsid w:val="005F777A"/>
    <w:rsid w:val="005F7AFF"/>
    <w:rsid w:val="006013FB"/>
    <w:rsid w:val="006017E5"/>
    <w:rsid w:val="00601CB9"/>
    <w:rsid w:val="006030AE"/>
    <w:rsid w:val="006032E5"/>
    <w:rsid w:val="00603DB4"/>
    <w:rsid w:val="00604CB4"/>
    <w:rsid w:val="00605862"/>
    <w:rsid w:val="006076FE"/>
    <w:rsid w:val="00607749"/>
    <w:rsid w:val="0060778E"/>
    <w:rsid w:val="00607EFE"/>
    <w:rsid w:val="0061010C"/>
    <w:rsid w:val="00610488"/>
    <w:rsid w:val="0061094B"/>
    <w:rsid w:val="0061221E"/>
    <w:rsid w:val="006127C9"/>
    <w:rsid w:val="00613181"/>
    <w:rsid w:val="00620118"/>
    <w:rsid w:val="006220C6"/>
    <w:rsid w:val="00622380"/>
    <w:rsid w:val="0062386A"/>
    <w:rsid w:val="00623A0F"/>
    <w:rsid w:val="00623C03"/>
    <w:rsid w:val="00624836"/>
    <w:rsid w:val="00624A77"/>
    <w:rsid w:val="00625F50"/>
    <w:rsid w:val="00626A31"/>
    <w:rsid w:val="0063004F"/>
    <w:rsid w:val="00630418"/>
    <w:rsid w:val="006307B3"/>
    <w:rsid w:val="00630C10"/>
    <w:rsid w:val="00630F63"/>
    <w:rsid w:val="0063102C"/>
    <w:rsid w:val="00631F47"/>
    <w:rsid w:val="00632269"/>
    <w:rsid w:val="00632C6E"/>
    <w:rsid w:val="00632CB2"/>
    <w:rsid w:val="006378A3"/>
    <w:rsid w:val="00637FA1"/>
    <w:rsid w:val="00640472"/>
    <w:rsid w:val="006424DB"/>
    <w:rsid w:val="00642DB4"/>
    <w:rsid w:val="006446C9"/>
    <w:rsid w:val="00645394"/>
    <w:rsid w:val="00646E86"/>
    <w:rsid w:val="00647024"/>
    <w:rsid w:val="00647910"/>
    <w:rsid w:val="00647E5D"/>
    <w:rsid w:val="006510D1"/>
    <w:rsid w:val="0065222E"/>
    <w:rsid w:val="00652633"/>
    <w:rsid w:val="00652E68"/>
    <w:rsid w:val="00653668"/>
    <w:rsid w:val="00654750"/>
    <w:rsid w:val="0065592A"/>
    <w:rsid w:val="00656A7E"/>
    <w:rsid w:val="00660101"/>
    <w:rsid w:val="0066072C"/>
    <w:rsid w:val="00660CE0"/>
    <w:rsid w:val="00660DC9"/>
    <w:rsid w:val="006618FE"/>
    <w:rsid w:val="00662AE0"/>
    <w:rsid w:val="00663D06"/>
    <w:rsid w:val="0066416C"/>
    <w:rsid w:val="0066559D"/>
    <w:rsid w:val="00665940"/>
    <w:rsid w:val="00665974"/>
    <w:rsid w:val="00666066"/>
    <w:rsid w:val="006677F9"/>
    <w:rsid w:val="00667A46"/>
    <w:rsid w:val="006706E6"/>
    <w:rsid w:val="00670E38"/>
    <w:rsid w:val="00672B70"/>
    <w:rsid w:val="0067347A"/>
    <w:rsid w:val="00673BE3"/>
    <w:rsid w:val="00673BF4"/>
    <w:rsid w:val="00675337"/>
    <w:rsid w:val="0067560A"/>
    <w:rsid w:val="00676B6C"/>
    <w:rsid w:val="0067748C"/>
    <w:rsid w:val="006776AF"/>
    <w:rsid w:val="00680242"/>
    <w:rsid w:val="00680525"/>
    <w:rsid w:val="00680BBF"/>
    <w:rsid w:val="00683476"/>
    <w:rsid w:val="006839F4"/>
    <w:rsid w:val="00683E52"/>
    <w:rsid w:val="006851E2"/>
    <w:rsid w:val="0068558B"/>
    <w:rsid w:val="00685619"/>
    <w:rsid w:val="006856DA"/>
    <w:rsid w:val="00685F8E"/>
    <w:rsid w:val="00686000"/>
    <w:rsid w:val="0068764E"/>
    <w:rsid w:val="00687E91"/>
    <w:rsid w:val="006903CD"/>
    <w:rsid w:val="00690690"/>
    <w:rsid w:val="00690BED"/>
    <w:rsid w:val="00690DBA"/>
    <w:rsid w:val="006925A7"/>
    <w:rsid w:val="006939E0"/>
    <w:rsid w:val="00694B3A"/>
    <w:rsid w:val="0069580E"/>
    <w:rsid w:val="006969CD"/>
    <w:rsid w:val="00697A08"/>
    <w:rsid w:val="006A09C0"/>
    <w:rsid w:val="006A0B1F"/>
    <w:rsid w:val="006A0BB8"/>
    <w:rsid w:val="006A10C9"/>
    <w:rsid w:val="006A1D4B"/>
    <w:rsid w:val="006A272B"/>
    <w:rsid w:val="006A3BB8"/>
    <w:rsid w:val="006A40D7"/>
    <w:rsid w:val="006A4CEA"/>
    <w:rsid w:val="006A4D7C"/>
    <w:rsid w:val="006A679B"/>
    <w:rsid w:val="006A76FC"/>
    <w:rsid w:val="006B06C7"/>
    <w:rsid w:val="006B11B1"/>
    <w:rsid w:val="006B13FB"/>
    <w:rsid w:val="006B185A"/>
    <w:rsid w:val="006B1C85"/>
    <w:rsid w:val="006B283F"/>
    <w:rsid w:val="006B2AA3"/>
    <w:rsid w:val="006B2B7B"/>
    <w:rsid w:val="006B2D42"/>
    <w:rsid w:val="006B3308"/>
    <w:rsid w:val="006B3703"/>
    <w:rsid w:val="006B37C8"/>
    <w:rsid w:val="006B41E0"/>
    <w:rsid w:val="006B4D3F"/>
    <w:rsid w:val="006B4ED5"/>
    <w:rsid w:val="006B5193"/>
    <w:rsid w:val="006B631B"/>
    <w:rsid w:val="006B6702"/>
    <w:rsid w:val="006B6A8A"/>
    <w:rsid w:val="006B6DD4"/>
    <w:rsid w:val="006B76CE"/>
    <w:rsid w:val="006B7E64"/>
    <w:rsid w:val="006B7EEB"/>
    <w:rsid w:val="006C0176"/>
    <w:rsid w:val="006C022E"/>
    <w:rsid w:val="006C03F2"/>
    <w:rsid w:val="006C040A"/>
    <w:rsid w:val="006C16B0"/>
    <w:rsid w:val="006C1E03"/>
    <w:rsid w:val="006C26F9"/>
    <w:rsid w:val="006C32C2"/>
    <w:rsid w:val="006C33D9"/>
    <w:rsid w:val="006C3410"/>
    <w:rsid w:val="006C374D"/>
    <w:rsid w:val="006C37D1"/>
    <w:rsid w:val="006C502A"/>
    <w:rsid w:val="006C5A40"/>
    <w:rsid w:val="006C7ABA"/>
    <w:rsid w:val="006D0B5F"/>
    <w:rsid w:val="006D1486"/>
    <w:rsid w:val="006D190B"/>
    <w:rsid w:val="006D1B39"/>
    <w:rsid w:val="006D2660"/>
    <w:rsid w:val="006D3A4B"/>
    <w:rsid w:val="006D3C9E"/>
    <w:rsid w:val="006D3CB0"/>
    <w:rsid w:val="006D4B5A"/>
    <w:rsid w:val="006D50E1"/>
    <w:rsid w:val="006D6555"/>
    <w:rsid w:val="006D7547"/>
    <w:rsid w:val="006E02D1"/>
    <w:rsid w:val="006E09C3"/>
    <w:rsid w:val="006E102E"/>
    <w:rsid w:val="006E1FA2"/>
    <w:rsid w:val="006E309C"/>
    <w:rsid w:val="006E38A1"/>
    <w:rsid w:val="006E72E1"/>
    <w:rsid w:val="006E75D4"/>
    <w:rsid w:val="006F1562"/>
    <w:rsid w:val="006F43C3"/>
    <w:rsid w:val="006F71F3"/>
    <w:rsid w:val="006F74C4"/>
    <w:rsid w:val="00701424"/>
    <w:rsid w:val="007019E7"/>
    <w:rsid w:val="00701DD3"/>
    <w:rsid w:val="00702CD5"/>
    <w:rsid w:val="00703B03"/>
    <w:rsid w:val="00703B41"/>
    <w:rsid w:val="00703E96"/>
    <w:rsid w:val="00704966"/>
    <w:rsid w:val="00704972"/>
    <w:rsid w:val="00705134"/>
    <w:rsid w:val="00705EFD"/>
    <w:rsid w:val="00705F6C"/>
    <w:rsid w:val="0070734B"/>
    <w:rsid w:val="00707458"/>
    <w:rsid w:val="00707820"/>
    <w:rsid w:val="00710182"/>
    <w:rsid w:val="0071098D"/>
    <w:rsid w:val="0071120D"/>
    <w:rsid w:val="007134D9"/>
    <w:rsid w:val="007140D5"/>
    <w:rsid w:val="00714D52"/>
    <w:rsid w:val="007179FD"/>
    <w:rsid w:val="00717FC7"/>
    <w:rsid w:val="00720523"/>
    <w:rsid w:val="00720E3E"/>
    <w:rsid w:val="007218A0"/>
    <w:rsid w:val="00722133"/>
    <w:rsid w:val="00722D7E"/>
    <w:rsid w:val="007233B0"/>
    <w:rsid w:val="0072352E"/>
    <w:rsid w:val="00723542"/>
    <w:rsid w:val="0072464D"/>
    <w:rsid w:val="00725B34"/>
    <w:rsid w:val="007268BF"/>
    <w:rsid w:val="00727907"/>
    <w:rsid w:val="00727C07"/>
    <w:rsid w:val="00727C89"/>
    <w:rsid w:val="00730D67"/>
    <w:rsid w:val="007310D6"/>
    <w:rsid w:val="007318F0"/>
    <w:rsid w:val="00731AF4"/>
    <w:rsid w:val="0073263F"/>
    <w:rsid w:val="00732A39"/>
    <w:rsid w:val="00734737"/>
    <w:rsid w:val="00734D38"/>
    <w:rsid w:val="00736102"/>
    <w:rsid w:val="00736184"/>
    <w:rsid w:val="007362A1"/>
    <w:rsid w:val="00737DAE"/>
    <w:rsid w:val="00737FD1"/>
    <w:rsid w:val="007405CE"/>
    <w:rsid w:val="007408EA"/>
    <w:rsid w:val="00741459"/>
    <w:rsid w:val="00741727"/>
    <w:rsid w:val="00742C0D"/>
    <w:rsid w:val="00742DBF"/>
    <w:rsid w:val="00744E76"/>
    <w:rsid w:val="00745947"/>
    <w:rsid w:val="00745BF8"/>
    <w:rsid w:val="00747242"/>
    <w:rsid w:val="00747452"/>
    <w:rsid w:val="00750043"/>
    <w:rsid w:val="00750DC1"/>
    <w:rsid w:val="00751326"/>
    <w:rsid w:val="0075154C"/>
    <w:rsid w:val="00752691"/>
    <w:rsid w:val="0075324B"/>
    <w:rsid w:val="00754408"/>
    <w:rsid w:val="007547BF"/>
    <w:rsid w:val="0075536A"/>
    <w:rsid w:val="00756954"/>
    <w:rsid w:val="0075696B"/>
    <w:rsid w:val="007573E9"/>
    <w:rsid w:val="007578C2"/>
    <w:rsid w:val="00760856"/>
    <w:rsid w:val="007618A0"/>
    <w:rsid w:val="007626FA"/>
    <w:rsid w:val="00762868"/>
    <w:rsid w:val="00763B3A"/>
    <w:rsid w:val="0076567C"/>
    <w:rsid w:val="007657CE"/>
    <w:rsid w:val="00765CAC"/>
    <w:rsid w:val="007668E9"/>
    <w:rsid w:val="00766E77"/>
    <w:rsid w:val="00767375"/>
    <w:rsid w:val="00767857"/>
    <w:rsid w:val="00767F52"/>
    <w:rsid w:val="007704E5"/>
    <w:rsid w:val="007709F7"/>
    <w:rsid w:val="00770BA7"/>
    <w:rsid w:val="00771687"/>
    <w:rsid w:val="007719A8"/>
    <w:rsid w:val="00772257"/>
    <w:rsid w:val="00773A04"/>
    <w:rsid w:val="007744B5"/>
    <w:rsid w:val="00774B12"/>
    <w:rsid w:val="00774B74"/>
    <w:rsid w:val="00774BA7"/>
    <w:rsid w:val="00776A42"/>
    <w:rsid w:val="00777971"/>
    <w:rsid w:val="00780581"/>
    <w:rsid w:val="00780F61"/>
    <w:rsid w:val="00781546"/>
    <w:rsid w:val="00781AAE"/>
    <w:rsid w:val="00782618"/>
    <w:rsid w:val="00784304"/>
    <w:rsid w:val="00784407"/>
    <w:rsid w:val="007846D6"/>
    <w:rsid w:val="00784E5E"/>
    <w:rsid w:val="0078501B"/>
    <w:rsid w:val="00785119"/>
    <w:rsid w:val="00785E7F"/>
    <w:rsid w:val="0078677C"/>
    <w:rsid w:val="00787177"/>
    <w:rsid w:val="007906C4"/>
    <w:rsid w:val="00790813"/>
    <w:rsid w:val="007909C9"/>
    <w:rsid w:val="00790BDF"/>
    <w:rsid w:val="007917F9"/>
    <w:rsid w:val="007919A2"/>
    <w:rsid w:val="00792BD4"/>
    <w:rsid w:val="00793DAC"/>
    <w:rsid w:val="0079475F"/>
    <w:rsid w:val="00797368"/>
    <w:rsid w:val="00797471"/>
    <w:rsid w:val="007A1316"/>
    <w:rsid w:val="007A1F90"/>
    <w:rsid w:val="007A2BBE"/>
    <w:rsid w:val="007A2E17"/>
    <w:rsid w:val="007A30B6"/>
    <w:rsid w:val="007A32BE"/>
    <w:rsid w:val="007A390E"/>
    <w:rsid w:val="007A4D72"/>
    <w:rsid w:val="007A4E24"/>
    <w:rsid w:val="007A5277"/>
    <w:rsid w:val="007A67B9"/>
    <w:rsid w:val="007A6AE4"/>
    <w:rsid w:val="007A7975"/>
    <w:rsid w:val="007B0F02"/>
    <w:rsid w:val="007B104C"/>
    <w:rsid w:val="007B1FAE"/>
    <w:rsid w:val="007B39EB"/>
    <w:rsid w:val="007B4F23"/>
    <w:rsid w:val="007B5B05"/>
    <w:rsid w:val="007B7B21"/>
    <w:rsid w:val="007B7C8A"/>
    <w:rsid w:val="007B7E39"/>
    <w:rsid w:val="007C0673"/>
    <w:rsid w:val="007C09AF"/>
    <w:rsid w:val="007C0F59"/>
    <w:rsid w:val="007C1DF1"/>
    <w:rsid w:val="007C2025"/>
    <w:rsid w:val="007C2495"/>
    <w:rsid w:val="007C26D0"/>
    <w:rsid w:val="007C4A25"/>
    <w:rsid w:val="007C53ED"/>
    <w:rsid w:val="007C728B"/>
    <w:rsid w:val="007C7939"/>
    <w:rsid w:val="007C7A2E"/>
    <w:rsid w:val="007C7E44"/>
    <w:rsid w:val="007D32D1"/>
    <w:rsid w:val="007D3359"/>
    <w:rsid w:val="007D4616"/>
    <w:rsid w:val="007D54C5"/>
    <w:rsid w:val="007D5C8E"/>
    <w:rsid w:val="007D602D"/>
    <w:rsid w:val="007D6C2B"/>
    <w:rsid w:val="007D7BDB"/>
    <w:rsid w:val="007E0E23"/>
    <w:rsid w:val="007E1E91"/>
    <w:rsid w:val="007E1EB1"/>
    <w:rsid w:val="007E3C76"/>
    <w:rsid w:val="007E3CDC"/>
    <w:rsid w:val="007E46C4"/>
    <w:rsid w:val="007E6895"/>
    <w:rsid w:val="007E73A6"/>
    <w:rsid w:val="007F0B2C"/>
    <w:rsid w:val="007F132E"/>
    <w:rsid w:val="007F1944"/>
    <w:rsid w:val="007F1B73"/>
    <w:rsid w:val="007F1BA3"/>
    <w:rsid w:val="007F1C60"/>
    <w:rsid w:val="007F2C6E"/>
    <w:rsid w:val="007F45E6"/>
    <w:rsid w:val="007F4677"/>
    <w:rsid w:val="007F51FB"/>
    <w:rsid w:val="007F6030"/>
    <w:rsid w:val="007F68EC"/>
    <w:rsid w:val="007F6A8D"/>
    <w:rsid w:val="008009E5"/>
    <w:rsid w:val="00800D16"/>
    <w:rsid w:val="00801B97"/>
    <w:rsid w:val="0080225B"/>
    <w:rsid w:val="008032A7"/>
    <w:rsid w:val="00803492"/>
    <w:rsid w:val="0080393B"/>
    <w:rsid w:val="00804161"/>
    <w:rsid w:val="0080421A"/>
    <w:rsid w:val="008047F6"/>
    <w:rsid w:val="00805454"/>
    <w:rsid w:val="0080575A"/>
    <w:rsid w:val="00807BAA"/>
    <w:rsid w:val="00807DB6"/>
    <w:rsid w:val="0081075F"/>
    <w:rsid w:val="008128EC"/>
    <w:rsid w:val="00812F56"/>
    <w:rsid w:val="008134B4"/>
    <w:rsid w:val="0081403A"/>
    <w:rsid w:val="00814498"/>
    <w:rsid w:val="00814E14"/>
    <w:rsid w:val="00814E93"/>
    <w:rsid w:val="0081615E"/>
    <w:rsid w:val="0081634A"/>
    <w:rsid w:val="008165C9"/>
    <w:rsid w:val="00820A6E"/>
    <w:rsid w:val="008216FD"/>
    <w:rsid w:val="00823028"/>
    <w:rsid w:val="008264FC"/>
    <w:rsid w:val="00827A7B"/>
    <w:rsid w:val="00830113"/>
    <w:rsid w:val="00830132"/>
    <w:rsid w:val="00830349"/>
    <w:rsid w:val="008309FC"/>
    <w:rsid w:val="008319B0"/>
    <w:rsid w:val="008321D4"/>
    <w:rsid w:val="008322B6"/>
    <w:rsid w:val="008328A9"/>
    <w:rsid w:val="00832930"/>
    <w:rsid w:val="00832C0C"/>
    <w:rsid w:val="0083356D"/>
    <w:rsid w:val="008338AD"/>
    <w:rsid w:val="00835506"/>
    <w:rsid w:val="008355A4"/>
    <w:rsid w:val="008361E3"/>
    <w:rsid w:val="0083693A"/>
    <w:rsid w:val="00837859"/>
    <w:rsid w:val="008402CF"/>
    <w:rsid w:val="008408F9"/>
    <w:rsid w:val="008414D7"/>
    <w:rsid w:val="008433FA"/>
    <w:rsid w:val="008438F0"/>
    <w:rsid w:val="008447E7"/>
    <w:rsid w:val="008459DF"/>
    <w:rsid w:val="00845C0A"/>
    <w:rsid w:val="0084601D"/>
    <w:rsid w:val="00847107"/>
    <w:rsid w:val="00847917"/>
    <w:rsid w:val="00851045"/>
    <w:rsid w:val="00852334"/>
    <w:rsid w:val="00852918"/>
    <w:rsid w:val="0085400A"/>
    <w:rsid w:val="00854DEB"/>
    <w:rsid w:val="00857443"/>
    <w:rsid w:val="00861119"/>
    <w:rsid w:val="008611C2"/>
    <w:rsid w:val="0086392D"/>
    <w:rsid w:val="00863B2C"/>
    <w:rsid w:val="008647B6"/>
    <w:rsid w:val="00864993"/>
    <w:rsid w:val="00865DF7"/>
    <w:rsid w:val="008666F3"/>
    <w:rsid w:val="0086705F"/>
    <w:rsid w:val="008700FC"/>
    <w:rsid w:val="00872132"/>
    <w:rsid w:val="00872E53"/>
    <w:rsid w:val="0087308E"/>
    <w:rsid w:val="008730DE"/>
    <w:rsid w:val="008731AF"/>
    <w:rsid w:val="008738A6"/>
    <w:rsid w:val="00873FDE"/>
    <w:rsid w:val="00874810"/>
    <w:rsid w:val="00875408"/>
    <w:rsid w:val="0087571B"/>
    <w:rsid w:val="00875B85"/>
    <w:rsid w:val="00875CAC"/>
    <w:rsid w:val="00876E3C"/>
    <w:rsid w:val="00876FD3"/>
    <w:rsid w:val="00877A5A"/>
    <w:rsid w:val="00877D62"/>
    <w:rsid w:val="00880EB8"/>
    <w:rsid w:val="008816A3"/>
    <w:rsid w:val="008821F5"/>
    <w:rsid w:val="00883C5B"/>
    <w:rsid w:val="008849D5"/>
    <w:rsid w:val="0088591E"/>
    <w:rsid w:val="008859A6"/>
    <w:rsid w:val="00886663"/>
    <w:rsid w:val="00886C45"/>
    <w:rsid w:val="00887D00"/>
    <w:rsid w:val="00887E05"/>
    <w:rsid w:val="008904C6"/>
    <w:rsid w:val="00890C83"/>
    <w:rsid w:val="00890D47"/>
    <w:rsid w:val="008928F2"/>
    <w:rsid w:val="00892C00"/>
    <w:rsid w:val="00892F2E"/>
    <w:rsid w:val="008934E2"/>
    <w:rsid w:val="00893FD2"/>
    <w:rsid w:val="00895621"/>
    <w:rsid w:val="00895C27"/>
    <w:rsid w:val="00896163"/>
    <w:rsid w:val="00896B57"/>
    <w:rsid w:val="00896CC7"/>
    <w:rsid w:val="00896F04"/>
    <w:rsid w:val="00897C31"/>
    <w:rsid w:val="008A18BF"/>
    <w:rsid w:val="008A1CC1"/>
    <w:rsid w:val="008A1E34"/>
    <w:rsid w:val="008A2CAC"/>
    <w:rsid w:val="008A32B7"/>
    <w:rsid w:val="008A5115"/>
    <w:rsid w:val="008A5CBA"/>
    <w:rsid w:val="008A5DD3"/>
    <w:rsid w:val="008A759F"/>
    <w:rsid w:val="008B086F"/>
    <w:rsid w:val="008B1439"/>
    <w:rsid w:val="008B1FB8"/>
    <w:rsid w:val="008B26A1"/>
    <w:rsid w:val="008B2D05"/>
    <w:rsid w:val="008B35F6"/>
    <w:rsid w:val="008B446D"/>
    <w:rsid w:val="008B473C"/>
    <w:rsid w:val="008B4A23"/>
    <w:rsid w:val="008B5D97"/>
    <w:rsid w:val="008B7453"/>
    <w:rsid w:val="008B7565"/>
    <w:rsid w:val="008C03AB"/>
    <w:rsid w:val="008C0C2A"/>
    <w:rsid w:val="008C0DE9"/>
    <w:rsid w:val="008C1478"/>
    <w:rsid w:val="008C1B5B"/>
    <w:rsid w:val="008C3D4A"/>
    <w:rsid w:val="008C44A4"/>
    <w:rsid w:val="008C49C9"/>
    <w:rsid w:val="008C5CCA"/>
    <w:rsid w:val="008C678C"/>
    <w:rsid w:val="008C6C86"/>
    <w:rsid w:val="008C7343"/>
    <w:rsid w:val="008C7C5F"/>
    <w:rsid w:val="008D0D82"/>
    <w:rsid w:val="008D11CA"/>
    <w:rsid w:val="008D17C7"/>
    <w:rsid w:val="008D1D26"/>
    <w:rsid w:val="008D25E0"/>
    <w:rsid w:val="008D2A9F"/>
    <w:rsid w:val="008D2E57"/>
    <w:rsid w:val="008D3993"/>
    <w:rsid w:val="008D57CB"/>
    <w:rsid w:val="008D5EAE"/>
    <w:rsid w:val="008D6C43"/>
    <w:rsid w:val="008D7FD7"/>
    <w:rsid w:val="008E0EDE"/>
    <w:rsid w:val="008E3456"/>
    <w:rsid w:val="008E4C9E"/>
    <w:rsid w:val="008E4E08"/>
    <w:rsid w:val="008E557C"/>
    <w:rsid w:val="008E55BD"/>
    <w:rsid w:val="008E59D5"/>
    <w:rsid w:val="008E63F8"/>
    <w:rsid w:val="008E7D3D"/>
    <w:rsid w:val="008F0054"/>
    <w:rsid w:val="008F06E5"/>
    <w:rsid w:val="008F088C"/>
    <w:rsid w:val="008F0A7E"/>
    <w:rsid w:val="008F0EC0"/>
    <w:rsid w:val="008F0FD4"/>
    <w:rsid w:val="008F11A6"/>
    <w:rsid w:val="008F171A"/>
    <w:rsid w:val="008F2386"/>
    <w:rsid w:val="008F2E8E"/>
    <w:rsid w:val="008F4319"/>
    <w:rsid w:val="008F46BF"/>
    <w:rsid w:val="008F476C"/>
    <w:rsid w:val="008F47AA"/>
    <w:rsid w:val="008F5FC8"/>
    <w:rsid w:val="008F678A"/>
    <w:rsid w:val="008F694F"/>
    <w:rsid w:val="00900253"/>
    <w:rsid w:val="00902042"/>
    <w:rsid w:val="00904EE9"/>
    <w:rsid w:val="00905599"/>
    <w:rsid w:val="00907BEF"/>
    <w:rsid w:val="00910E49"/>
    <w:rsid w:val="00910F7B"/>
    <w:rsid w:val="00910FD3"/>
    <w:rsid w:val="009117D3"/>
    <w:rsid w:val="00911B4C"/>
    <w:rsid w:val="00913EC3"/>
    <w:rsid w:val="00913FF3"/>
    <w:rsid w:val="009152EA"/>
    <w:rsid w:val="0091530E"/>
    <w:rsid w:val="009156D5"/>
    <w:rsid w:val="0091585C"/>
    <w:rsid w:val="00916107"/>
    <w:rsid w:val="00916D10"/>
    <w:rsid w:val="00921E8B"/>
    <w:rsid w:val="00921F29"/>
    <w:rsid w:val="0092225F"/>
    <w:rsid w:val="0092275D"/>
    <w:rsid w:val="00923AEC"/>
    <w:rsid w:val="0092438F"/>
    <w:rsid w:val="009252E9"/>
    <w:rsid w:val="00925C38"/>
    <w:rsid w:val="0092718F"/>
    <w:rsid w:val="0092732B"/>
    <w:rsid w:val="0093097A"/>
    <w:rsid w:val="00930DE3"/>
    <w:rsid w:val="0093124D"/>
    <w:rsid w:val="00931424"/>
    <w:rsid w:val="00931E17"/>
    <w:rsid w:val="00932119"/>
    <w:rsid w:val="0093278F"/>
    <w:rsid w:val="00935A8C"/>
    <w:rsid w:val="00935EBC"/>
    <w:rsid w:val="009362DB"/>
    <w:rsid w:val="0093653F"/>
    <w:rsid w:val="00936D24"/>
    <w:rsid w:val="00936ED8"/>
    <w:rsid w:val="00937CED"/>
    <w:rsid w:val="009401E0"/>
    <w:rsid w:val="00940670"/>
    <w:rsid w:val="009407FC"/>
    <w:rsid w:val="00942031"/>
    <w:rsid w:val="00943335"/>
    <w:rsid w:val="00944945"/>
    <w:rsid w:val="0094499A"/>
    <w:rsid w:val="00945101"/>
    <w:rsid w:val="009452E9"/>
    <w:rsid w:val="009456CC"/>
    <w:rsid w:val="0094682F"/>
    <w:rsid w:val="009504C7"/>
    <w:rsid w:val="009509BD"/>
    <w:rsid w:val="00950EBE"/>
    <w:rsid w:val="0095368D"/>
    <w:rsid w:val="009538E6"/>
    <w:rsid w:val="00953D16"/>
    <w:rsid w:val="00953E60"/>
    <w:rsid w:val="00954A80"/>
    <w:rsid w:val="009554A2"/>
    <w:rsid w:val="00956D22"/>
    <w:rsid w:val="009576AA"/>
    <w:rsid w:val="009577E2"/>
    <w:rsid w:val="009607C2"/>
    <w:rsid w:val="00960B0E"/>
    <w:rsid w:val="00961A6C"/>
    <w:rsid w:val="009620D4"/>
    <w:rsid w:val="00963142"/>
    <w:rsid w:val="00963D39"/>
    <w:rsid w:val="00965467"/>
    <w:rsid w:val="00965D7D"/>
    <w:rsid w:val="00966C66"/>
    <w:rsid w:val="009721BD"/>
    <w:rsid w:val="00973303"/>
    <w:rsid w:val="00973655"/>
    <w:rsid w:val="00973ECB"/>
    <w:rsid w:val="00974953"/>
    <w:rsid w:val="00974BBF"/>
    <w:rsid w:val="00975882"/>
    <w:rsid w:val="00976335"/>
    <w:rsid w:val="00976BE4"/>
    <w:rsid w:val="00980486"/>
    <w:rsid w:val="009808BA"/>
    <w:rsid w:val="00980AB4"/>
    <w:rsid w:val="00980CAE"/>
    <w:rsid w:val="0098144A"/>
    <w:rsid w:val="00981619"/>
    <w:rsid w:val="00981F9B"/>
    <w:rsid w:val="00982746"/>
    <w:rsid w:val="00982A4D"/>
    <w:rsid w:val="00983D5D"/>
    <w:rsid w:val="00983DD4"/>
    <w:rsid w:val="00984503"/>
    <w:rsid w:val="00984512"/>
    <w:rsid w:val="00984B50"/>
    <w:rsid w:val="00985218"/>
    <w:rsid w:val="00985C8A"/>
    <w:rsid w:val="00985CAF"/>
    <w:rsid w:val="00985CDD"/>
    <w:rsid w:val="0098683A"/>
    <w:rsid w:val="00986A10"/>
    <w:rsid w:val="00990A8C"/>
    <w:rsid w:val="00990DD3"/>
    <w:rsid w:val="00991DF5"/>
    <w:rsid w:val="00993112"/>
    <w:rsid w:val="009943A3"/>
    <w:rsid w:val="00995F7B"/>
    <w:rsid w:val="00996A00"/>
    <w:rsid w:val="009A1441"/>
    <w:rsid w:val="009A158E"/>
    <w:rsid w:val="009A212F"/>
    <w:rsid w:val="009A37BD"/>
    <w:rsid w:val="009A50EA"/>
    <w:rsid w:val="009A5282"/>
    <w:rsid w:val="009A5973"/>
    <w:rsid w:val="009A59FF"/>
    <w:rsid w:val="009A5B2A"/>
    <w:rsid w:val="009A5E04"/>
    <w:rsid w:val="009A605E"/>
    <w:rsid w:val="009A658A"/>
    <w:rsid w:val="009A71BA"/>
    <w:rsid w:val="009A765C"/>
    <w:rsid w:val="009B20FA"/>
    <w:rsid w:val="009B255F"/>
    <w:rsid w:val="009B2C97"/>
    <w:rsid w:val="009B422B"/>
    <w:rsid w:val="009B4FE7"/>
    <w:rsid w:val="009B51C4"/>
    <w:rsid w:val="009B77E6"/>
    <w:rsid w:val="009B7AF7"/>
    <w:rsid w:val="009C10A7"/>
    <w:rsid w:val="009C16EA"/>
    <w:rsid w:val="009C1D9C"/>
    <w:rsid w:val="009C223C"/>
    <w:rsid w:val="009C232C"/>
    <w:rsid w:val="009C3F95"/>
    <w:rsid w:val="009C4B4C"/>
    <w:rsid w:val="009C5084"/>
    <w:rsid w:val="009C5EF7"/>
    <w:rsid w:val="009C5FB4"/>
    <w:rsid w:val="009C649E"/>
    <w:rsid w:val="009C7D7A"/>
    <w:rsid w:val="009C7DD9"/>
    <w:rsid w:val="009D0801"/>
    <w:rsid w:val="009D0FC3"/>
    <w:rsid w:val="009D1ACB"/>
    <w:rsid w:val="009D1CE3"/>
    <w:rsid w:val="009D240F"/>
    <w:rsid w:val="009D2B28"/>
    <w:rsid w:val="009D2CE5"/>
    <w:rsid w:val="009D4A66"/>
    <w:rsid w:val="009D53DF"/>
    <w:rsid w:val="009D63C7"/>
    <w:rsid w:val="009D64CC"/>
    <w:rsid w:val="009E25A3"/>
    <w:rsid w:val="009E42AF"/>
    <w:rsid w:val="009E43DC"/>
    <w:rsid w:val="009E51EB"/>
    <w:rsid w:val="009E5364"/>
    <w:rsid w:val="009E57D8"/>
    <w:rsid w:val="009E5E59"/>
    <w:rsid w:val="009E6543"/>
    <w:rsid w:val="009E7633"/>
    <w:rsid w:val="009F2503"/>
    <w:rsid w:val="009F39ED"/>
    <w:rsid w:val="009F3DEA"/>
    <w:rsid w:val="009F575F"/>
    <w:rsid w:val="009F64E9"/>
    <w:rsid w:val="009F6D39"/>
    <w:rsid w:val="009F6DED"/>
    <w:rsid w:val="009F75F2"/>
    <w:rsid w:val="009F7B58"/>
    <w:rsid w:val="00A000A1"/>
    <w:rsid w:val="00A00597"/>
    <w:rsid w:val="00A00938"/>
    <w:rsid w:val="00A00E93"/>
    <w:rsid w:val="00A01A70"/>
    <w:rsid w:val="00A03502"/>
    <w:rsid w:val="00A0502D"/>
    <w:rsid w:val="00A0590F"/>
    <w:rsid w:val="00A05D7B"/>
    <w:rsid w:val="00A067EF"/>
    <w:rsid w:val="00A06E70"/>
    <w:rsid w:val="00A07910"/>
    <w:rsid w:val="00A100A0"/>
    <w:rsid w:val="00A106BC"/>
    <w:rsid w:val="00A1114A"/>
    <w:rsid w:val="00A11191"/>
    <w:rsid w:val="00A128A6"/>
    <w:rsid w:val="00A133C0"/>
    <w:rsid w:val="00A135D8"/>
    <w:rsid w:val="00A1397A"/>
    <w:rsid w:val="00A143A9"/>
    <w:rsid w:val="00A14733"/>
    <w:rsid w:val="00A148B1"/>
    <w:rsid w:val="00A15017"/>
    <w:rsid w:val="00A15D12"/>
    <w:rsid w:val="00A165F3"/>
    <w:rsid w:val="00A175A7"/>
    <w:rsid w:val="00A17933"/>
    <w:rsid w:val="00A17DF0"/>
    <w:rsid w:val="00A20713"/>
    <w:rsid w:val="00A213DC"/>
    <w:rsid w:val="00A2151C"/>
    <w:rsid w:val="00A22277"/>
    <w:rsid w:val="00A22745"/>
    <w:rsid w:val="00A23C50"/>
    <w:rsid w:val="00A2510D"/>
    <w:rsid w:val="00A2520B"/>
    <w:rsid w:val="00A252D7"/>
    <w:rsid w:val="00A25EC7"/>
    <w:rsid w:val="00A30126"/>
    <w:rsid w:val="00A30CCB"/>
    <w:rsid w:val="00A33707"/>
    <w:rsid w:val="00A35165"/>
    <w:rsid w:val="00A3576E"/>
    <w:rsid w:val="00A35A62"/>
    <w:rsid w:val="00A36525"/>
    <w:rsid w:val="00A369BB"/>
    <w:rsid w:val="00A40CEE"/>
    <w:rsid w:val="00A430B5"/>
    <w:rsid w:val="00A434EF"/>
    <w:rsid w:val="00A44FBE"/>
    <w:rsid w:val="00A457E1"/>
    <w:rsid w:val="00A4640F"/>
    <w:rsid w:val="00A46864"/>
    <w:rsid w:val="00A47223"/>
    <w:rsid w:val="00A50EC3"/>
    <w:rsid w:val="00A53003"/>
    <w:rsid w:val="00A531F6"/>
    <w:rsid w:val="00A53BC9"/>
    <w:rsid w:val="00A545F1"/>
    <w:rsid w:val="00A548D4"/>
    <w:rsid w:val="00A54AE9"/>
    <w:rsid w:val="00A55210"/>
    <w:rsid w:val="00A5582A"/>
    <w:rsid w:val="00A569B9"/>
    <w:rsid w:val="00A56AC6"/>
    <w:rsid w:val="00A57887"/>
    <w:rsid w:val="00A602CA"/>
    <w:rsid w:val="00A6109F"/>
    <w:rsid w:val="00A61CBE"/>
    <w:rsid w:val="00A63308"/>
    <w:rsid w:val="00A63C15"/>
    <w:rsid w:val="00A65202"/>
    <w:rsid w:val="00A65790"/>
    <w:rsid w:val="00A65E7A"/>
    <w:rsid w:val="00A6659C"/>
    <w:rsid w:val="00A67379"/>
    <w:rsid w:val="00A6757C"/>
    <w:rsid w:val="00A67940"/>
    <w:rsid w:val="00A70440"/>
    <w:rsid w:val="00A70A07"/>
    <w:rsid w:val="00A70D84"/>
    <w:rsid w:val="00A715A9"/>
    <w:rsid w:val="00A71C8C"/>
    <w:rsid w:val="00A7293B"/>
    <w:rsid w:val="00A7354A"/>
    <w:rsid w:val="00A74489"/>
    <w:rsid w:val="00A745C3"/>
    <w:rsid w:val="00A74AB0"/>
    <w:rsid w:val="00A74D83"/>
    <w:rsid w:val="00A74E59"/>
    <w:rsid w:val="00A75AAD"/>
    <w:rsid w:val="00A75DD0"/>
    <w:rsid w:val="00A76DC3"/>
    <w:rsid w:val="00A801B4"/>
    <w:rsid w:val="00A82F2C"/>
    <w:rsid w:val="00A84BB2"/>
    <w:rsid w:val="00A8512C"/>
    <w:rsid w:val="00A8516E"/>
    <w:rsid w:val="00A85873"/>
    <w:rsid w:val="00A85C96"/>
    <w:rsid w:val="00A8624C"/>
    <w:rsid w:val="00A8633C"/>
    <w:rsid w:val="00A878EA"/>
    <w:rsid w:val="00A87B6E"/>
    <w:rsid w:val="00A9051D"/>
    <w:rsid w:val="00A90653"/>
    <w:rsid w:val="00A92AC3"/>
    <w:rsid w:val="00A92C33"/>
    <w:rsid w:val="00A92CFD"/>
    <w:rsid w:val="00A92D9B"/>
    <w:rsid w:val="00A931CC"/>
    <w:rsid w:val="00A93590"/>
    <w:rsid w:val="00A94833"/>
    <w:rsid w:val="00A94B5B"/>
    <w:rsid w:val="00A96059"/>
    <w:rsid w:val="00A96072"/>
    <w:rsid w:val="00A964AE"/>
    <w:rsid w:val="00A96CBE"/>
    <w:rsid w:val="00AA01F7"/>
    <w:rsid w:val="00AA0288"/>
    <w:rsid w:val="00AA1210"/>
    <w:rsid w:val="00AA3D93"/>
    <w:rsid w:val="00AA499A"/>
    <w:rsid w:val="00AA6FDD"/>
    <w:rsid w:val="00AA7D99"/>
    <w:rsid w:val="00AB020E"/>
    <w:rsid w:val="00AB0644"/>
    <w:rsid w:val="00AB0B39"/>
    <w:rsid w:val="00AB2701"/>
    <w:rsid w:val="00AB30DA"/>
    <w:rsid w:val="00AB3817"/>
    <w:rsid w:val="00AB38D2"/>
    <w:rsid w:val="00AB4563"/>
    <w:rsid w:val="00AB482F"/>
    <w:rsid w:val="00AB4D3F"/>
    <w:rsid w:val="00AB5127"/>
    <w:rsid w:val="00AB58C9"/>
    <w:rsid w:val="00AB5F4F"/>
    <w:rsid w:val="00AB7F5D"/>
    <w:rsid w:val="00AC079C"/>
    <w:rsid w:val="00AC1E07"/>
    <w:rsid w:val="00AC1EB9"/>
    <w:rsid w:val="00AC25AD"/>
    <w:rsid w:val="00AC280A"/>
    <w:rsid w:val="00AC2AB1"/>
    <w:rsid w:val="00AC2D11"/>
    <w:rsid w:val="00AC30C6"/>
    <w:rsid w:val="00AC3CAE"/>
    <w:rsid w:val="00AC4126"/>
    <w:rsid w:val="00AC47E4"/>
    <w:rsid w:val="00AC62ED"/>
    <w:rsid w:val="00AC6955"/>
    <w:rsid w:val="00AC6C43"/>
    <w:rsid w:val="00AC7780"/>
    <w:rsid w:val="00AD0D35"/>
    <w:rsid w:val="00AD1892"/>
    <w:rsid w:val="00AD1C98"/>
    <w:rsid w:val="00AD24AD"/>
    <w:rsid w:val="00AD3213"/>
    <w:rsid w:val="00AD5911"/>
    <w:rsid w:val="00AD593B"/>
    <w:rsid w:val="00AD5CE8"/>
    <w:rsid w:val="00AD5DFF"/>
    <w:rsid w:val="00AD6C93"/>
    <w:rsid w:val="00AD7ABE"/>
    <w:rsid w:val="00AE0C68"/>
    <w:rsid w:val="00AE1C7F"/>
    <w:rsid w:val="00AE235C"/>
    <w:rsid w:val="00AE365D"/>
    <w:rsid w:val="00AE3D9B"/>
    <w:rsid w:val="00AE4EBC"/>
    <w:rsid w:val="00AE51BE"/>
    <w:rsid w:val="00AE5AD9"/>
    <w:rsid w:val="00AE694E"/>
    <w:rsid w:val="00AE6D68"/>
    <w:rsid w:val="00AF02E4"/>
    <w:rsid w:val="00AF06D4"/>
    <w:rsid w:val="00AF0EED"/>
    <w:rsid w:val="00AF1283"/>
    <w:rsid w:val="00AF1FC4"/>
    <w:rsid w:val="00AF2CF9"/>
    <w:rsid w:val="00AF2FCC"/>
    <w:rsid w:val="00AF37E2"/>
    <w:rsid w:val="00AF4F54"/>
    <w:rsid w:val="00AF501C"/>
    <w:rsid w:val="00AF63BF"/>
    <w:rsid w:val="00B0022C"/>
    <w:rsid w:val="00B01A0D"/>
    <w:rsid w:val="00B01E32"/>
    <w:rsid w:val="00B02BD8"/>
    <w:rsid w:val="00B02C4B"/>
    <w:rsid w:val="00B03E96"/>
    <w:rsid w:val="00B0491C"/>
    <w:rsid w:val="00B05C09"/>
    <w:rsid w:val="00B066B9"/>
    <w:rsid w:val="00B1212B"/>
    <w:rsid w:val="00B1218F"/>
    <w:rsid w:val="00B1228E"/>
    <w:rsid w:val="00B123B3"/>
    <w:rsid w:val="00B123DD"/>
    <w:rsid w:val="00B12804"/>
    <w:rsid w:val="00B148A0"/>
    <w:rsid w:val="00B15345"/>
    <w:rsid w:val="00B15AB6"/>
    <w:rsid w:val="00B1606F"/>
    <w:rsid w:val="00B16BE8"/>
    <w:rsid w:val="00B16E59"/>
    <w:rsid w:val="00B17983"/>
    <w:rsid w:val="00B17D99"/>
    <w:rsid w:val="00B212A0"/>
    <w:rsid w:val="00B21D96"/>
    <w:rsid w:val="00B221F8"/>
    <w:rsid w:val="00B22C69"/>
    <w:rsid w:val="00B24ED7"/>
    <w:rsid w:val="00B251F7"/>
    <w:rsid w:val="00B2541B"/>
    <w:rsid w:val="00B25674"/>
    <w:rsid w:val="00B2590F"/>
    <w:rsid w:val="00B273C1"/>
    <w:rsid w:val="00B303B3"/>
    <w:rsid w:val="00B3103D"/>
    <w:rsid w:val="00B316A7"/>
    <w:rsid w:val="00B31C5B"/>
    <w:rsid w:val="00B32087"/>
    <w:rsid w:val="00B32265"/>
    <w:rsid w:val="00B3263E"/>
    <w:rsid w:val="00B3318F"/>
    <w:rsid w:val="00B339B1"/>
    <w:rsid w:val="00B42C35"/>
    <w:rsid w:val="00B432A6"/>
    <w:rsid w:val="00B43AC8"/>
    <w:rsid w:val="00B43FD9"/>
    <w:rsid w:val="00B4424F"/>
    <w:rsid w:val="00B44D3B"/>
    <w:rsid w:val="00B464BC"/>
    <w:rsid w:val="00B4690A"/>
    <w:rsid w:val="00B46DB0"/>
    <w:rsid w:val="00B46DC9"/>
    <w:rsid w:val="00B4782E"/>
    <w:rsid w:val="00B47E24"/>
    <w:rsid w:val="00B508C4"/>
    <w:rsid w:val="00B51D0B"/>
    <w:rsid w:val="00B5321D"/>
    <w:rsid w:val="00B53391"/>
    <w:rsid w:val="00B56693"/>
    <w:rsid w:val="00B568FB"/>
    <w:rsid w:val="00B601EB"/>
    <w:rsid w:val="00B60DBC"/>
    <w:rsid w:val="00B6331F"/>
    <w:rsid w:val="00B634D0"/>
    <w:rsid w:val="00B6462E"/>
    <w:rsid w:val="00B64793"/>
    <w:rsid w:val="00B64A36"/>
    <w:rsid w:val="00B657D7"/>
    <w:rsid w:val="00B661B3"/>
    <w:rsid w:val="00B66720"/>
    <w:rsid w:val="00B67A5B"/>
    <w:rsid w:val="00B67C91"/>
    <w:rsid w:val="00B703CC"/>
    <w:rsid w:val="00B70C96"/>
    <w:rsid w:val="00B714A1"/>
    <w:rsid w:val="00B71588"/>
    <w:rsid w:val="00B73EB0"/>
    <w:rsid w:val="00B73F93"/>
    <w:rsid w:val="00B741B0"/>
    <w:rsid w:val="00B74D84"/>
    <w:rsid w:val="00B74F67"/>
    <w:rsid w:val="00B76EAD"/>
    <w:rsid w:val="00B77796"/>
    <w:rsid w:val="00B800C1"/>
    <w:rsid w:val="00B80E6C"/>
    <w:rsid w:val="00B82BD0"/>
    <w:rsid w:val="00B842E0"/>
    <w:rsid w:val="00B85138"/>
    <w:rsid w:val="00B8620E"/>
    <w:rsid w:val="00B86AF5"/>
    <w:rsid w:val="00B9185F"/>
    <w:rsid w:val="00B919DD"/>
    <w:rsid w:val="00B91ADB"/>
    <w:rsid w:val="00B92301"/>
    <w:rsid w:val="00B929DA"/>
    <w:rsid w:val="00B94837"/>
    <w:rsid w:val="00B94E69"/>
    <w:rsid w:val="00B94F73"/>
    <w:rsid w:val="00B95622"/>
    <w:rsid w:val="00B96037"/>
    <w:rsid w:val="00B96881"/>
    <w:rsid w:val="00B96A2A"/>
    <w:rsid w:val="00B96AD3"/>
    <w:rsid w:val="00B976D1"/>
    <w:rsid w:val="00B97BF8"/>
    <w:rsid w:val="00BA0A26"/>
    <w:rsid w:val="00BA16CA"/>
    <w:rsid w:val="00BA1B72"/>
    <w:rsid w:val="00BA2756"/>
    <w:rsid w:val="00BA345F"/>
    <w:rsid w:val="00BA34C2"/>
    <w:rsid w:val="00BA4293"/>
    <w:rsid w:val="00BA63EC"/>
    <w:rsid w:val="00BA781F"/>
    <w:rsid w:val="00BB0709"/>
    <w:rsid w:val="00BB0C81"/>
    <w:rsid w:val="00BB26EF"/>
    <w:rsid w:val="00BB2AE7"/>
    <w:rsid w:val="00BB36FD"/>
    <w:rsid w:val="00BB46E8"/>
    <w:rsid w:val="00BB4758"/>
    <w:rsid w:val="00BB479D"/>
    <w:rsid w:val="00BB5137"/>
    <w:rsid w:val="00BB5E8F"/>
    <w:rsid w:val="00BB679A"/>
    <w:rsid w:val="00BB6F86"/>
    <w:rsid w:val="00BB727D"/>
    <w:rsid w:val="00BB7ADC"/>
    <w:rsid w:val="00BC01A9"/>
    <w:rsid w:val="00BC1411"/>
    <w:rsid w:val="00BC248F"/>
    <w:rsid w:val="00BC35BA"/>
    <w:rsid w:val="00BC4EE4"/>
    <w:rsid w:val="00BC69D2"/>
    <w:rsid w:val="00BC7A44"/>
    <w:rsid w:val="00BC7CCF"/>
    <w:rsid w:val="00BD273F"/>
    <w:rsid w:val="00BD4A08"/>
    <w:rsid w:val="00BD4AE3"/>
    <w:rsid w:val="00BD4E1D"/>
    <w:rsid w:val="00BD6080"/>
    <w:rsid w:val="00BD65C3"/>
    <w:rsid w:val="00BD7523"/>
    <w:rsid w:val="00BE1823"/>
    <w:rsid w:val="00BE1A27"/>
    <w:rsid w:val="00BE1C16"/>
    <w:rsid w:val="00BE2AA3"/>
    <w:rsid w:val="00BE3D9C"/>
    <w:rsid w:val="00BE4320"/>
    <w:rsid w:val="00BE4331"/>
    <w:rsid w:val="00BE4B1E"/>
    <w:rsid w:val="00BE54E7"/>
    <w:rsid w:val="00BE5F74"/>
    <w:rsid w:val="00BE73AD"/>
    <w:rsid w:val="00BF092B"/>
    <w:rsid w:val="00BF1595"/>
    <w:rsid w:val="00BF1702"/>
    <w:rsid w:val="00BF199E"/>
    <w:rsid w:val="00BF1AD9"/>
    <w:rsid w:val="00BF1BC2"/>
    <w:rsid w:val="00BF2065"/>
    <w:rsid w:val="00BF2989"/>
    <w:rsid w:val="00BF2C92"/>
    <w:rsid w:val="00BF386F"/>
    <w:rsid w:val="00BF3EBB"/>
    <w:rsid w:val="00BF4B3C"/>
    <w:rsid w:val="00BF55C9"/>
    <w:rsid w:val="00BF5A58"/>
    <w:rsid w:val="00BF6397"/>
    <w:rsid w:val="00BF6518"/>
    <w:rsid w:val="00BF6C59"/>
    <w:rsid w:val="00BF7930"/>
    <w:rsid w:val="00BF7A9E"/>
    <w:rsid w:val="00BF7F1A"/>
    <w:rsid w:val="00C0119A"/>
    <w:rsid w:val="00C01578"/>
    <w:rsid w:val="00C018FB"/>
    <w:rsid w:val="00C01F6C"/>
    <w:rsid w:val="00C01FAA"/>
    <w:rsid w:val="00C02327"/>
    <w:rsid w:val="00C026DE"/>
    <w:rsid w:val="00C02B91"/>
    <w:rsid w:val="00C045F8"/>
    <w:rsid w:val="00C06158"/>
    <w:rsid w:val="00C11209"/>
    <w:rsid w:val="00C12A6D"/>
    <w:rsid w:val="00C131DB"/>
    <w:rsid w:val="00C1408A"/>
    <w:rsid w:val="00C14403"/>
    <w:rsid w:val="00C14AC8"/>
    <w:rsid w:val="00C14AED"/>
    <w:rsid w:val="00C15312"/>
    <w:rsid w:val="00C161E7"/>
    <w:rsid w:val="00C16285"/>
    <w:rsid w:val="00C16930"/>
    <w:rsid w:val="00C17BB6"/>
    <w:rsid w:val="00C21AAA"/>
    <w:rsid w:val="00C21BC8"/>
    <w:rsid w:val="00C22691"/>
    <w:rsid w:val="00C24571"/>
    <w:rsid w:val="00C25129"/>
    <w:rsid w:val="00C25522"/>
    <w:rsid w:val="00C25EFF"/>
    <w:rsid w:val="00C260DC"/>
    <w:rsid w:val="00C268C8"/>
    <w:rsid w:val="00C26A4C"/>
    <w:rsid w:val="00C27B32"/>
    <w:rsid w:val="00C27FBC"/>
    <w:rsid w:val="00C30C63"/>
    <w:rsid w:val="00C3171D"/>
    <w:rsid w:val="00C31803"/>
    <w:rsid w:val="00C31A4F"/>
    <w:rsid w:val="00C32613"/>
    <w:rsid w:val="00C32A0A"/>
    <w:rsid w:val="00C3343E"/>
    <w:rsid w:val="00C34947"/>
    <w:rsid w:val="00C35401"/>
    <w:rsid w:val="00C36EDD"/>
    <w:rsid w:val="00C36F4D"/>
    <w:rsid w:val="00C37EA7"/>
    <w:rsid w:val="00C412C4"/>
    <w:rsid w:val="00C41C15"/>
    <w:rsid w:val="00C43285"/>
    <w:rsid w:val="00C43E84"/>
    <w:rsid w:val="00C447C9"/>
    <w:rsid w:val="00C44FFF"/>
    <w:rsid w:val="00C45CBB"/>
    <w:rsid w:val="00C470A5"/>
    <w:rsid w:val="00C47A62"/>
    <w:rsid w:val="00C47C4C"/>
    <w:rsid w:val="00C47F6A"/>
    <w:rsid w:val="00C5190A"/>
    <w:rsid w:val="00C53B32"/>
    <w:rsid w:val="00C55F4E"/>
    <w:rsid w:val="00C56530"/>
    <w:rsid w:val="00C566B4"/>
    <w:rsid w:val="00C57B88"/>
    <w:rsid w:val="00C57DB3"/>
    <w:rsid w:val="00C6044A"/>
    <w:rsid w:val="00C61982"/>
    <w:rsid w:val="00C6227A"/>
    <w:rsid w:val="00C625BC"/>
    <w:rsid w:val="00C63EFC"/>
    <w:rsid w:val="00C65158"/>
    <w:rsid w:val="00C6553C"/>
    <w:rsid w:val="00C65736"/>
    <w:rsid w:val="00C66599"/>
    <w:rsid w:val="00C66E12"/>
    <w:rsid w:val="00C67590"/>
    <w:rsid w:val="00C677A1"/>
    <w:rsid w:val="00C67DD2"/>
    <w:rsid w:val="00C7042A"/>
    <w:rsid w:val="00C71F67"/>
    <w:rsid w:val="00C71FE9"/>
    <w:rsid w:val="00C72467"/>
    <w:rsid w:val="00C730DA"/>
    <w:rsid w:val="00C7317B"/>
    <w:rsid w:val="00C731D9"/>
    <w:rsid w:val="00C734B8"/>
    <w:rsid w:val="00C754FB"/>
    <w:rsid w:val="00C75611"/>
    <w:rsid w:val="00C75642"/>
    <w:rsid w:val="00C763C6"/>
    <w:rsid w:val="00C77994"/>
    <w:rsid w:val="00C8070C"/>
    <w:rsid w:val="00C811B0"/>
    <w:rsid w:val="00C816EE"/>
    <w:rsid w:val="00C827F5"/>
    <w:rsid w:val="00C82E44"/>
    <w:rsid w:val="00C846AF"/>
    <w:rsid w:val="00C84A9B"/>
    <w:rsid w:val="00C84E64"/>
    <w:rsid w:val="00C85392"/>
    <w:rsid w:val="00C864B2"/>
    <w:rsid w:val="00C86652"/>
    <w:rsid w:val="00C86BB4"/>
    <w:rsid w:val="00C87208"/>
    <w:rsid w:val="00C87802"/>
    <w:rsid w:val="00C87AE7"/>
    <w:rsid w:val="00C87DD7"/>
    <w:rsid w:val="00C90497"/>
    <w:rsid w:val="00C90586"/>
    <w:rsid w:val="00C90AE2"/>
    <w:rsid w:val="00C91841"/>
    <w:rsid w:val="00C92428"/>
    <w:rsid w:val="00C93A43"/>
    <w:rsid w:val="00C93AD6"/>
    <w:rsid w:val="00C94276"/>
    <w:rsid w:val="00C9429C"/>
    <w:rsid w:val="00C94535"/>
    <w:rsid w:val="00C967B4"/>
    <w:rsid w:val="00C97B95"/>
    <w:rsid w:val="00CA02BA"/>
    <w:rsid w:val="00CA08C6"/>
    <w:rsid w:val="00CA2017"/>
    <w:rsid w:val="00CA3911"/>
    <w:rsid w:val="00CA4186"/>
    <w:rsid w:val="00CA463F"/>
    <w:rsid w:val="00CA4AD1"/>
    <w:rsid w:val="00CA4D58"/>
    <w:rsid w:val="00CA5B2C"/>
    <w:rsid w:val="00CB0197"/>
    <w:rsid w:val="00CB10AF"/>
    <w:rsid w:val="00CB1160"/>
    <w:rsid w:val="00CB1AFF"/>
    <w:rsid w:val="00CB1C77"/>
    <w:rsid w:val="00CB1D87"/>
    <w:rsid w:val="00CB335F"/>
    <w:rsid w:val="00CB349C"/>
    <w:rsid w:val="00CB3500"/>
    <w:rsid w:val="00CB3DB0"/>
    <w:rsid w:val="00CB4202"/>
    <w:rsid w:val="00CB60D1"/>
    <w:rsid w:val="00CB680F"/>
    <w:rsid w:val="00CB742D"/>
    <w:rsid w:val="00CB751A"/>
    <w:rsid w:val="00CB7673"/>
    <w:rsid w:val="00CC01E0"/>
    <w:rsid w:val="00CC030D"/>
    <w:rsid w:val="00CC0356"/>
    <w:rsid w:val="00CC0692"/>
    <w:rsid w:val="00CC2DB3"/>
    <w:rsid w:val="00CC3604"/>
    <w:rsid w:val="00CC39DC"/>
    <w:rsid w:val="00CC4280"/>
    <w:rsid w:val="00CC4B8B"/>
    <w:rsid w:val="00CC4E9A"/>
    <w:rsid w:val="00CC5283"/>
    <w:rsid w:val="00CC6D15"/>
    <w:rsid w:val="00CC77E7"/>
    <w:rsid w:val="00CC7E8E"/>
    <w:rsid w:val="00CD09E7"/>
    <w:rsid w:val="00CD0D71"/>
    <w:rsid w:val="00CD15FB"/>
    <w:rsid w:val="00CD244C"/>
    <w:rsid w:val="00CD351B"/>
    <w:rsid w:val="00CD409B"/>
    <w:rsid w:val="00CD43EB"/>
    <w:rsid w:val="00CD5CDE"/>
    <w:rsid w:val="00CD5E35"/>
    <w:rsid w:val="00CD7ACC"/>
    <w:rsid w:val="00CE0103"/>
    <w:rsid w:val="00CE1F97"/>
    <w:rsid w:val="00CE2906"/>
    <w:rsid w:val="00CE2BA3"/>
    <w:rsid w:val="00CE3143"/>
    <w:rsid w:val="00CE475E"/>
    <w:rsid w:val="00CE505C"/>
    <w:rsid w:val="00CE7069"/>
    <w:rsid w:val="00CE7A6B"/>
    <w:rsid w:val="00CF06B9"/>
    <w:rsid w:val="00CF0EB3"/>
    <w:rsid w:val="00CF122A"/>
    <w:rsid w:val="00CF22E0"/>
    <w:rsid w:val="00CF2A0C"/>
    <w:rsid w:val="00CF2EB8"/>
    <w:rsid w:val="00CF3628"/>
    <w:rsid w:val="00CF3BB1"/>
    <w:rsid w:val="00CF54C4"/>
    <w:rsid w:val="00CF5ACB"/>
    <w:rsid w:val="00CF63A6"/>
    <w:rsid w:val="00CF63FD"/>
    <w:rsid w:val="00D00646"/>
    <w:rsid w:val="00D00F0C"/>
    <w:rsid w:val="00D0180D"/>
    <w:rsid w:val="00D0181E"/>
    <w:rsid w:val="00D01C32"/>
    <w:rsid w:val="00D02945"/>
    <w:rsid w:val="00D0295C"/>
    <w:rsid w:val="00D04BA2"/>
    <w:rsid w:val="00D04D70"/>
    <w:rsid w:val="00D054E8"/>
    <w:rsid w:val="00D05625"/>
    <w:rsid w:val="00D05703"/>
    <w:rsid w:val="00D0615C"/>
    <w:rsid w:val="00D07C0D"/>
    <w:rsid w:val="00D109C8"/>
    <w:rsid w:val="00D112B5"/>
    <w:rsid w:val="00D11503"/>
    <w:rsid w:val="00D11AAF"/>
    <w:rsid w:val="00D11B8A"/>
    <w:rsid w:val="00D121AA"/>
    <w:rsid w:val="00D13745"/>
    <w:rsid w:val="00D139B9"/>
    <w:rsid w:val="00D1443A"/>
    <w:rsid w:val="00D145AA"/>
    <w:rsid w:val="00D14AD6"/>
    <w:rsid w:val="00D14C59"/>
    <w:rsid w:val="00D150F9"/>
    <w:rsid w:val="00D151F4"/>
    <w:rsid w:val="00D1557C"/>
    <w:rsid w:val="00D15E91"/>
    <w:rsid w:val="00D16566"/>
    <w:rsid w:val="00D16574"/>
    <w:rsid w:val="00D17FBD"/>
    <w:rsid w:val="00D21AA1"/>
    <w:rsid w:val="00D22CA6"/>
    <w:rsid w:val="00D23297"/>
    <w:rsid w:val="00D23AF3"/>
    <w:rsid w:val="00D24B0D"/>
    <w:rsid w:val="00D24B3A"/>
    <w:rsid w:val="00D25017"/>
    <w:rsid w:val="00D26562"/>
    <w:rsid w:val="00D27344"/>
    <w:rsid w:val="00D27507"/>
    <w:rsid w:val="00D27EF7"/>
    <w:rsid w:val="00D30A8C"/>
    <w:rsid w:val="00D30F10"/>
    <w:rsid w:val="00D32862"/>
    <w:rsid w:val="00D32DA5"/>
    <w:rsid w:val="00D33080"/>
    <w:rsid w:val="00D33EE3"/>
    <w:rsid w:val="00D35658"/>
    <w:rsid w:val="00D36E03"/>
    <w:rsid w:val="00D40A4E"/>
    <w:rsid w:val="00D413D1"/>
    <w:rsid w:val="00D4173F"/>
    <w:rsid w:val="00D41D22"/>
    <w:rsid w:val="00D42FDB"/>
    <w:rsid w:val="00D437C8"/>
    <w:rsid w:val="00D448CB"/>
    <w:rsid w:val="00D44966"/>
    <w:rsid w:val="00D4552B"/>
    <w:rsid w:val="00D45726"/>
    <w:rsid w:val="00D4585A"/>
    <w:rsid w:val="00D459F2"/>
    <w:rsid w:val="00D46850"/>
    <w:rsid w:val="00D46C10"/>
    <w:rsid w:val="00D46C57"/>
    <w:rsid w:val="00D509B6"/>
    <w:rsid w:val="00D51E9B"/>
    <w:rsid w:val="00D52091"/>
    <w:rsid w:val="00D52209"/>
    <w:rsid w:val="00D535BF"/>
    <w:rsid w:val="00D53B4E"/>
    <w:rsid w:val="00D53CC4"/>
    <w:rsid w:val="00D544E9"/>
    <w:rsid w:val="00D54679"/>
    <w:rsid w:val="00D547B2"/>
    <w:rsid w:val="00D5538E"/>
    <w:rsid w:val="00D55921"/>
    <w:rsid w:val="00D5692E"/>
    <w:rsid w:val="00D57179"/>
    <w:rsid w:val="00D60BF1"/>
    <w:rsid w:val="00D61D99"/>
    <w:rsid w:val="00D61F68"/>
    <w:rsid w:val="00D6267A"/>
    <w:rsid w:val="00D642D7"/>
    <w:rsid w:val="00D64B67"/>
    <w:rsid w:val="00D701AE"/>
    <w:rsid w:val="00D717A4"/>
    <w:rsid w:val="00D7186E"/>
    <w:rsid w:val="00D71BB1"/>
    <w:rsid w:val="00D73520"/>
    <w:rsid w:val="00D744B1"/>
    <w:rsid w:val="00D74CC8"/>
    <w:rsid w:val="00D7547C"/>
    <w:rsid w:val="00D7612A"/>
    <w:rsid w:val="00D7674D"/>
    <w:rsid w:val="00D77148"/>
    <w:rsid w:val="00D775A0"/>
    <w:rsid w:val="00D80ECE"/>
    <w:rsid w:val="00D81090"/>
    <w:rsid w:val="00D81890"/>
    <w:rsid w:val="00D82609"/>
    <w:rsid w:val="00D827F8"/>
    <w:rsid w:val="00D82D81"/>
    <w:rsid w:val="00D84199"/>
    <w:rsid w:val="00D84637"/>
    <w:rsid w:val="00D84FC1"/>
    <w:rsid w:val="00D856CC"/>
    <w:rsid w:val="00D85C43"/>
    <w:rsid w:val="00D85C94"/>
    <w:rsid w:val="00D85F0C"/>
    <w:rsid w:val="00D868D7"/>
    <w:rsid w:val="00D86E57"/>
    <w:rsid w:val="00D90A29"/>
    <w:rsid w:val="00D90B59"/>
    <w:rsid w:val="00D92EDD"/>
    <w:rsid w:val="00D94E2E"/>
    <w:rsid w:val="00D97A15"/>
    <w:rsid w:val="00D97AF8"/>
    <w:rsid w:val="00DA03B1"/>
    <w:rsid w:val="00DA421E"/>
    <w:rsid w:val="00DA498B"/>
    <w:rsid w:val="00DA540E"/>
    <w:rsid w:val="00DA5F70"/>
    <w:rsid w:val="00DA624E"/>
    <w:rsid w:val="00DA7E27"/>
    <w:rsid w:val="00DB0484"/>
    <w:rsid w:val="00DB1E2A"/>
    <w:rsid w:val="00DB2004"/>
    <w:rsid w:val="00DB2AD7"/>
    <w:rsid w:val="00DB2EF3"/>
    <w:rsid w:val="00DB4616"/>
    <w:rsid w:val="00DB4B29"/>
    <w:rsid w:val="00DB6F39"/>
    <w:rsid w:val="00DC0A6D"/>
    <w:rsid w:val="00DC1480"/>
    <w:rsid w:val="00DC1DAF"/>
    <w:rsid w:val="00DC306C"/>
    <w:rsid w:val="00DC420A"/>
    <w:rsid w:val="00DC485B"/>
    <w:rsid w:val="00DC5D55"/>
    <w:rsid w:val="00DC5DA1"/>
    <w:rsid w:val="00DC5DA4"/>
    <w:rsid w:val="00DC70EC"/>
    <w:rsid w:val="00DC7672"/>
    <w:rsid w:val="00DC7E2F"/>
    <w:rsid w:val="00DD02A6"/>
    <w:rsid w:val="00DD0799"/>
    <w:rsid w:val="00DD1ABE"/>
    <w:rsid w:val="00DD1ED6"/>
    <w:rsid w:val="00DD1F94"/>
    <w:rsid w:val="00DD2132"/>
    <w:rsid w:val="00DD28CB"/>
    <w:rsid w:val="00DD2A25"/>
    <w:rsid w:val="00DD30D2"/>
    <w:rsid w:val="00DD3636"/>
    <w:rsid w:val="00DD3A30"/>
    <w:rsid w:val="00DD49CA"/>
    <w:rsid w:val="00DD5B28"/>
    <w:rsid w:val="00DD6068"/>
    <w:rsid w:val="00DD7598"/>
    <w:rsid w:val="00DE1ACF"/>
    <w:rsid w:val="00DE1B00"/>
    <w:rsid w:val="00DE21C7"/>
    <w:rsid w:val="00DE2395"/>
    <w:rsid w:val="00DE2E1C"/>
    <w:rsid w:val="00DE375D"/>
    <w:rsid w:val="00DE3DA0"/>
    <w:rsid w:val="00DE54C1"/>
    <w:rsid w:val="00DE58AD"/>
    <w:rsid w:val="00DE58CB"/>
    <w:rsid w:val="00DE618F"/>
    <w:rsid w:val="00DE65F4"/>
    <w:rsid w:val="00DE6E1E"/>
    <w:rsid w:val="00DE7A93"/>
    <w:rsid w:val="00DE7AF7"/>
    <w:rsid w:val="00DF0747"/>
    <w:rsid w:val="00DF14B5"/>
    <w:rsid w:val="00DF1B54"/>
    <w:rsid w:val="00DF2319"/>
    <w:rsid w:val="00DF2649"/>
    <w:rsid w:val="00DF3FDA"/>
    <w:rsid w:val="00DF4EBA"/>
    <w:rsid w:val="00DF6306"/>
    <w:rsid w:val="00DF7247"/>
    <w:rsid w:val="00DF76AF"/>
    <w:rsid w:val="00E01543"/>
    <w:rsid w:val="00E01691"/>
    <w:rsid w:val="00E01945"/>
    <w:rsid w:val="00E039FD"/>
    <w:rsid w:val="00E03ABA"/>
    <w:rsid w:val="00E04A4F"/>
    <w:rsid w:val="00E060E1"/>
    <w:rsid w:val="00E063EA"/>
    <w:rsid w:val="00E07D89"/>
    <w:rsid w:val="00E11B65"/>
    <w:rsid w:val="00E11F1C"/>
    <w:rsid w:val="00E12E86"/>
    <w:rsid w:val="00E12EF8"/>
    <w:rsid w:val="00E13162"/>
    <w:rsid w:val="00E133F0"/>
    <w:rsid w:val="00E13840"/>
    <w:rsid w:val="00E13ABC"/>
    <w:rsid w:val="00E14785"/>
    <w:rsid w:val="00E14C6E"/>
    <w:rsid w:val="00E14EDC"/>
    <w:rsid w:val="00E17EF8"/>
    <w:rsid w:val="00E201E0"/>
    <w:rsid w:val="00E210BF"/>
    <w:rsid w:val="00E21C58"/>
    <w:rsid w:val="00E22205"/>
    <w:rsid w:val="00E2290C"/>
    <w:rsid w:val="00E22CD5"/>
    <w:rsid w:val="00E232AB"/>
    <w:rsid w:val="00E2418B"/>
    <w:rsid w:val="00E24534"/>
    <w:rsid w:val="00E25FE7"/>
    <w:rsid w:val="00E2792D"/>
    <w:rsid w:val="00E27EBC"/>
    <w:rsid w:val="00E30132"/>
    <w:rsid w:val="00E3086F"/>
    <w:rsid w:val="00E30FF4"/>
    <w:rsid w:val="00E31747"/>
    <w:rsid w:val="00E3190B"/>
    <w:rsid w:val="00E3192E"/>
    <w:rsid w:val="00E322E0"/>
    <w:rsid w:val="00E3323E"/>
    <w:rsid w:val="00E3352C"/>
    <w:rsid w:val="00E3367F"/>
    <w:rsid w:val="00E34809"/>
    <w:rsid w:val="00E3598E"/>
    <w:rsid w:val="00E3662F"/>
    <w:rsid w:val="00E3683D"/>
    <w:rsid w:val="00E368F1"/>
    <w:rsid w:val="00E3701A"/>
    <w:rsid w:val="00E37333"/>
    <w:rsid w:val="00E3737B"/>
    <w:rsid w:val="00E37BB1"/>
    <w:rsid w:val="00E37F38"/>
    <w:rsid w:val="00E40942"/>
    <w:rsid w:val="00E40D6A"/>
    <w:rsid w:val="00E412A0"/>
    <w:rsid w:val="00E42504"/>
    <w:rsid w:val="00E43274"/>
    <w:rsid w:val="00E44E41"/>
    <w:rsid w:val="00E44E67"/>
    <w:rsid w:val="00E47EAF"/>
    <w:rsid w:val="00E502D4"/>
    <w:rsid w:val="00E512A2"/>
    <w:rsid w:val="00E51B8E"/>
    <w:rsid w:val="00E52C18"/>
    <w:rsid w:val="00E53163"/>
    <w:rsid w:val="00E5389C"/>
    <w:rsid w:val="00E55BE5"/>
    <w:rsid w:val="00E57034"/>
    <w:rsid w:val="00E573F3"/>
    <w:rsid w:val="00E60EFE"/>
    <w:rsid w:val="00E61019"/>
    <w:rsid w:val="00E613A7"/>
    <w:rsid w:val="00E616EE"/>
    <w:rsid w:val="00E619B8"/>
    <w:rsid w:val="00E627CC"/>
    <w:rsid w:val="00E64A0D"/>
    <w:rsid w:val="00E64D76"/>
    <w:rsid w:val="00E658A4"/>
    <w:rsid w:val="00E70728"/>
    <w:rsid w:val="00E70D0E"/>
    <w:rsid w:val="00E71392"/>
    <w:rsid w:val="00E71EAA"/>
    <w:rsid w:val="00E7230C"/>
    <w:rsid w:val="00E731A7"/>
    <w:rsid w:val="00E74FAF"/>
    <w:rsid w:val="00E8013B"/>
    <w:rsid w:val="00E80608"/>
    <w:rsid w:val="00E8071A"/>
    <w:rsid w:val="00E80DB6"/>
    <w:rsid w:val="00E81838"/>
    <w:rsid w:val="00E81AB1"/>
    <w:rsid w:val="00E81C4E"/>
    <w:rsid w:val="00E82279"/>
    <w:rsid w:val="00E841C3"/>
    <w:rsid w:val="00E843EE"/>
    <w:rsid w:val="00E858DA"/>
    <w:rsid w:val="00E862ED"/>
    <w:rsid w:val="00E8674A"/>
    <w:rsid w:val="00E867F3"/>
    <w:rsid w:val="00E86F44"/>
    <w:rsid w:val="00E90D90"/>
    <w:rsid w:val="00E9157E"/>
    <w:rsid w:val="00E915A2"/>
    <w:rsid w:val="00E9162E"/>
    <w:rsid w:val="00E9191D"/>
    <w:rsid w:val="00E9243B"/>
    <w:rsid w:val="00E92F86"/>
    <w:rsid w:val="00E932FC"/>
    <w:rsid w:val="00E93C91"/>
    <w:rsid w:val="00E9576E"/>
    <w:rsid w:val="00E968F4"/>
    <w:rsid w:val="00E970BA"/>
    <w:rsid w:val="00EA0B93"/>
    <w:rsid w:val="00EA1BB6"/>
    <w:rsid w:val="00EA3CE9"/>
    <w:rsid w:val="00EA458E"/>
    <w:rsid w:val="00EA46E4"/>
    <w:rsid w:val="00EA47AE"/>
    <w:rsid w:val="00EA4D2A"/>
    <w:rsid w:val="00EA5CC4"/>
    <w:rsid w:val="00EB0E68"/>
    <w:rsid w:val="00EB11C4"/>
    <w:rsid w:val="00EB1298"/>
    <w:rsid w:val="00EB15EF"/>
    <w:rsid w:val="00EB1E36"/>
    <w:rsid w:val="00EB3A76"/>
    <w:rsid w:val="00EB473D"/>
    <w:rsid w:val="00EB4C35"/>
    <w:rsid w:val="00EB5B6E"/>
    <w:rsid w:val="00EB603D"/>
    <w:rsid w:val="00EB704A"/>
    <w:rsid w:val="00EC1449"/>
    <w:rsid w:val="00EC18A6"/>
    <w:rsid w:val="00EC5AC0"/>
    <w:rsid w:val="00EC6C22"/>
    <w:rsid w:val="00EC751D"/>
    <w:rsid w:val="00EC7A12"/>
    <w:rsid w:val="00EC7D93"/>
    <w:rsid w:val="00ED2B4D"/>
    <w:rsid w:val="00ED436F"/>
    <w:rsid w:val="00ED5313"/>
    <w:rsid w:val="00ED5796"/>
    <w:rsid w:val="00ED5A51"/>
    <w:rsid w:val="00ED5ADD"/>
    <w:rsid w:val="00ED5D98"/>
    <w:rsid w:val="00ED63F2"/>
    <w:rsid w:val="00ED64B9"/>
    <w:rsid w:val="00ED6739"/>
    <w:rsid w:val="00ED6AEE"/>
    <w:rsid w:val="00ED73ED"/>
    <w:rsid w:val="00ED77C6"/>
    <w:rsid w:val="00EE0C2B"/>
    <w:rsid w:val="00EE10DA"/>
    <w:rsid w:val="00EE1DFC"/>
    <w:rsid w:val="00EE2B7E"/>
    <w:rsid w:val="00EE3093"/>
    <w:rsid w:val="00EE4236"/>
    <w:rsid w:val="00EE561C"/>
    <w:rsid w:val="00EF073C"/>
    <w:rsid w:val="00EF098D"/>
    <w:rsid w:val="00EF0B0D"/>
    <w:rsid w:val="00EF0F2E"/>
    <w:rsid w:val="00EF0F2F"/>
    <w:rsid w:val="00EF1F02"/>
    <w:rsid w:val="00EF2A1C"/>
    <w:rsid w:val="00EF31B5"/>
    <w:rsid w:val="00EF37DB"/>
    <w:rsid w:val="00EF43A4"/>
    <w:rsid w:val="00EF4C78"/>
    <w:rsid w:val="00EF4CBF"/>
    <w:rsid w:val="00EF6078"/>
    <w:rsid w:val="00EF6935"/>
    <w:rsid w:val="00F001DF"/>
    <w:rsid w:val="00F00C41"/>
    <w:rsid w:val="00F0148B"/>
    <w:rsid w:val="00F02255"/>
    <w:rsid w:val="00F03FB5"/>
    <w:rsid w:val="00F04761"/>
    <w:rsid w:val="00F0537F"/>
    <w:rsid w:val="00F05626"/>
    <w:rsid w:val="00F06582"/>
    <w:rsid w:val="00F0701D"/>
    <w:rsid w:val="00F076C0"/>
    <w:rsid w:val="00F11326"/>
    <w:rsid w:val="00F1186B"/>
    <w:rsid w:val="00F11E86"/>
    <w:rsid w:val="00F120DF"/>
    <w:rsid w:val="00F12363"/>
    <w:rsid w:val="00F1341F"/>
    <w:rsid w:val="00F137B0"/>
    <w:rsid w:val="00F14469"/>
    <w:rsid w:val="00F14B81"/>
    <w:rsid w:val="00F1530B"/>
    <w:rsid w:val="00F161FE"/>
    <w:rsid w:val="00F16267"/>
    <w:rsid w:val="00F169D0"/>
    <w:rsid w:val="00F1705C"/>
    <w:rsid w:val="00F17DDE"/>
    <w:rsid w:val="00F20C5A"/>
    <w:rsid w:val="00F22B61"/>
    <w:rsid w:val="00F23406"/>
    <w:rsid w:val="00F237F5"/>
    <w:rsid w:val="00F24CA6"/>
    <w:rsid w:val="00F25818"/>
    <w:rsid w:val="00F25E4C"/>
    <w:rsid w:val="00F26158"/>
    <w:rsid w:val="00F263E3"/>
    <w:rsid w:val="00F26CD5"/>
    <w:rsid w:val="00F276DB"/>
    <w:rsid w:val="00F279C5"/>
    <w:rsid w:val="00F27B8C"/>
    <w:rsid w:val="00F30BAB"/>
    <w:rsid w:val="00F3156E"/>
    <w:rsid w:val="00F322E5"/>
    <w:rsid w:val="00F3282A"/>
    <w:rsid w:val="00F32B8E"/>
    <w:rsid w:val="00F32F41"/>
    <w:rsid w:val="00F33219"/>
    <w:rsid w:val="00F34222"/>
    <w:rsid w:val="00F352E1"/>
    <w:rsid w:val="00F35A67"/>
    <w:rsid w:val="00F35CB3"/>
    <w:rsid w:val="00F35E76"/>
    <w:rsid w:val="00F36533"/>
    <w:rsid w:val="00F372DF"/>
    <w:rsid w:val="00F378A0"/>
    <w:rsid w:val="00F378B0"/>
    <w:rsid w:val="00F37FD7"/>
    <w:rsid w:val="00F40217"/>
    <w:rsid w:val="00F41001"/>
    <w:rsid w:val="00F4119E"/>
    <w:rsid w:val="00F4209C"/>
    <w:rsid w:val="00F422C8"/>
    <w:rsid w:val="00F427D5"/>
    <w:rsid w:val="00F428DE"/>
    <w:rsid w:val="00F42C2F"/>
    <w:rsid w:val="00F43121"/>
    <w:rsid w:val="00F46725"/>
    <w:rsid w:val="00F46C52"/>
    <w:rsid w:val="00F47089"/>
    <w:rsid w:val="00F47B0A"/>
    <w:rsid w:val="00F50979"/>
    <w:rsid w:val="00F51ABF"/>
    <w:rsid w:val="00F52091"/>
    <w:rsid w:val="00F541C9"/>
    <w:rsid w:val="00F54453"/>
    <w:rsid w:val="00F550C1"/>
    <w:rsid w:val="00F5619D"/>
    <w:rsid w:val="00F565EF"/>
    <w:rsid w:val="00F56722"/>
    <w:rsid w:val="00F56788"/>
    <w:rsid w:val="00F56B29"/>
    <w:rsid w:val="00F57823"/>
    <w:rsid w:val="00F57F7D"/>
    <w:rsid w:val="00F60BCF"/>
    <w:rsid w:val="00F6167A"/>
    <w:rsid w:val="00F65E5B"/>
    <w:rsid w:val="00F66866"/>
    <w:rsid w:val="00F672AF"/>
    <w:rsid w:val="00F67946"/>
    <w:rsid w:val="00F703DD"/>
    <w:rsid w:val="00F71834"/>
    <w:rsid w:val="00F71FBA"/>
    <w:rsid w:val="00F720A0"/>
    <w:rsid w:val="00F726F9"/>
    <w:rsid w:val="00F72A74"/>
    <w:rsid w:val="00F73D5A"/>
    <w:rsid w:val="00F769BB"/>
    <w:rsid w:val="00F76A3C"/>
    <w:rsid w:val="00F77577"/>
    <w:rsid w:val="00F808F2"/>
    <w:rsid w:val="00F80D0F"/>
    <w:rsid w:val="00F81463"/>
    <w:rsid w:val="00F81532"/>
    <w:rsid w:val="00F82415"/>
    <w:rsid w:val="00F826F3"/>
    <w:rsid w:val="00F828D1"/>
    <w:rsid w:val="00F830E1"/>
    <w:rsid w:val="00F8345F"/>
    <w:rsid w:val="00F83AD0"/>
    <w:rsid w:val="00F83B48"/>
    <w:rsid w:val="00F8471D"/>
    <w:rsid w:val="00F8488D"/>
    <w:rsid w:val="00F8523C"/>
    <w:rsid w:val="00F85D40"/>
    <w:rsid w:val="00F875A0"/>
    <w:rsid w:val="00F87AB0"/>
    <w:rsid w:val="00F91071"/>
    <w:rsid w:val="00F91B84"/>
    <w:rsid w:val="00F92A96"/>
    <w:rsid w:val="00F93057"/>
    <w:rsid w:val="00F93181"/>
    <w:rsid w:val="00F935E6"/>
    <w:rsid w:val="00F93AEE"/>
    <w:rsid w:val="00F94679"/>
    <w:rsid w:val="00F956C7"/>
    <w:rsid w:val="00F96C08"/>
    <w:rsid w:val="00F96E2B"/>
    <w:rsid w:val="00F96F0F"/>
    <w:rsid w:val="00F97C21"/>
    <w:rsid w:val="00FA0595"/>
    <w:rsid w:val="00FA068C"/>
    <w:rsid w:val="00FA0DE5"/>
    <w:rsid w:val="00FA1FCA"/>
    <w:rsid w:val="00FA2170"/>
    <w:rsid w:val="00FA2D85"/>
    <w:rsid w:val="00FA2EE2"/>
    <w:rsid w:val="00FA3F45"/>
    <w:rsid w:val="00FA4CE4"/>
    <w:rsid w:val="00FA514E"/>
    <w:rsid w:val="00FA5684"/>
    <w:rsid w:val="00FA5D61"/>
    <w:rsid w:val="00FA69C4"/>
    <w:rsid w:val="00FA7A46"/>
    <w:rsid w:val="00FA7D89"/>
    <w:rsid w:val="00FB09DC"/>
    <w:rsid w:val="00FB16C9"/>
    <w:rsid w:val="00FB3724"/>
    <w:rsid w:val="00FB3A30"/>
    <w:rsid w:val="00FB409E"/>
    <w:rsid w:val="00FB41D5"/>
    <w:rsid w:val="00FB42B4"/>
    <w:rsid w:val="00FB6C62"/>
    <w:rsid w:val="00FB6EC9"/>
    <w:rsid w:val="00FB7C93"/>
    <w:rsid w:val="00FC173C"/>
    <w:rsid w:val="00FC2133"/>
    <w:rsid w:val="00FC23A4"/>
    <w:rsid w:val="00FC2EDE"/>
    <w:rsid w:val="00FC3387"/>
    <w:rsid w:val="00FC5350"/>
    <w:rsid w:val="00FC5BCC"/>
    <w:rsid w:val="00FC5E68"/>
    <w:rsid w:val="00FC7E78"/>
    <w:rsid w:val="00FD0452"/>
    <w:rsid w:val="00FD17D0"/>
    <w:rsid w:val="00FD1DBC"/>
    <w:rsid w:val="00FD2C0F"/>
    <w:rsid w:val="00FD3C1D"/>
    <w:rsid w:val="00FD3D54"/>
    <w:rsid w:val="00FD3FED"/>
    <w:rsid w:val="00FD4184"/>
    <w:rsid w:val="00FD5479"/>
    <w:rsid w:val="00FD5480"/>
    <w:rsid w:val="00FD57A4"/>
    <w:rsid w:val="00FD6872"/>
    <w:rsid w:val="00FD6D46"/>
    <w:rsid w:val="00FD6E56"/>
    <w:rsid w:val="00FD7251"/>
    <w:rsid w:val="00FD7930"/>
    <w:rsid w:val="00FE043C"/>
    <w:rsid w:val="00FE0864"/>
    <w:rsid w:val="00FE098C"/>
    <w:rsid w:val="00FE1270"/>
    <w:rsid w:val="00FE1539"/>
    <w:rsid w:val="00FE225F"/>
    <w:rsid w:val="00FE41D5"/>
    <w:rsid w:val="00FE45DA"/>
    <w:rsid w:val="00FE4EFA"/>
    <w:rsid w:val="00FE7024"/>
    <w:rsid w:val="00FF020D"/>
    <w:rsid w:val="00FF02EB"/>
    <w:rsid w:val="00FF09FB"/>
    <w:rsid w:val="00FF0F58"/>
    <w:rsid w:val="00FF1E24"/>
    <w:rsid w:val="00FF2068"/>
    <w:rsid w:val="00FF2B28"/>
    <w:rsid w:val="00FF4579"/>
    <w:rsid w:val="00FF47FA"/>
    <w:rsid w:val="00FF4928"/>
    <w:rsid w:val="00FF533C"/>
    <w:rsid w:val="00FF5394"/>
    <w:rsid w:val="00FF61A0"/>
    <w:rsid w:val="00FF7A5B"/>
    <w:rsid w:val="00FF7DB3"/>
    <w:rsid w:val="01CE965B"/>
    <w:rsid w:val="01DD97E1"/>
    <w:rsid w:val="027EAAB4"/>
    <w:rsid w:val="04703144"/>
    <w:rsid w:val="04C11421"/>
    <w:rsid w:val="050ECFFF"/>
    <w:rsid w:val="056480B8"/>
    <w:rsid w:val="058DF8E3"/>
    <w:rsid w:val="059BAC00"/>
    <w:rsid w:val="06506780"/>
    <w:rsid w:val="090C290C"/>
    <w:rsid w:val="0A8129AA"/>
    <w:rsid w:val="0AB0BD1C"/>
    <w:rsid w:val="0B03663E"/>
    <w:rsid w:val="0B429BB1"/>
    <w:rsid w:val="0D4FECCB"/>
    <w:rsid w:val="0D8BD655"/>
    <w:rsid w:val="0DA4F54D"/>
    <w:rsid w:val="0DE08D11"/>
    <w:rsid w:val="0EAE6210"/>
    <w:rsid w:val="0EEB81BF"/>
    <w:rsid w:val="0FDE2169"/>
    <w:rsid w:val="105BF7DD"/>
    <w:rsid w:val="1074B9B0"/>
    <w:rsid w:val="114C1FE1"/>
    <w:rsid w:val="1207CB85"/>
    <w:rsid w:val="121C3850"/>
    <w:rsid w:val="125050A3"/>
    <w:rsid w:val="126B916E"/>
    <w:rsid w:val="12AED883"/>
    <w:rsid w:val="13F56FBF"/>
    <w:rsid w:val="15376408"/>
    <w:rsid w:val="15A3E7C2"/>
    <w:rsid w:val="17291720"/>
    <w:rsid w:val="17822FD5"/>
    <w:rsid w:val="17CAA8B0"/>
    <w:rsid w:val="198E2C96"/>
    <w:rsid w:val="19C8CE8D"/>
    <w:rsid w:val="1A8732F5"/>
    <w:rsid w:val="1AD5255A"/>
    <w:rsid w:val="1C149703"/>
    <w:rsid w:val="1CAE2059"/>
    <w:rsid w:val="1E0C66AC"/>
    <w:rsid w:val="202F6A3C"/>
    <w:rsid w:val="20C1535E"/>
    <w:rsid w:val="2173E7AE"/>
    <w:rsid w:val="218A4EAC"/>
    <w:rsid w:val="21F17E52"/>
    <w:rsid w:val="225ED275"/>
    <w:rsid w:val="2364F7B3"/>
    <w:rsid w:val="23B93919"/>
    <w:rsid w:val="24105BA5"/>
    <w:rsid w:val="253E4C3F"/>
    <w:rsid w:val="2661FB3A"/>
    <w:rsid w:val="2750C9EB"/>
    <w:rsid w:val="27985708"/>
    <w:rsid w:val="29807FAD"/>
    <w:rsid w:val="2A14D0F2"/>
    <w:rsid w:val="2A20944E"/>
    <w:rsid w:val="2A270C23"/>
    <w:rsid w:val="2A5B0E58"/>
    <w:rsid w:val="2B2736F1"/>
    <w:rsid w:val="2B363D86"/>
    <w:rsid w:val="2B7B6357"/>
    <w:rsid w:val="2B80A0A3"/>
    <w:rsid w:val="2BCAA863"/>
    <w:rsid w:val="2BDCA2BD"/>
    <w:rsid w:val="2BFF1B7A"/>
    <w:rsid w:val="2C1B843A"/>
    <w:rsid w:val="2D0ED235"/>
    <w:rsid w:val="2D72F524"/>
    <w:rsid w:val="2D7A0FD5"/>
    <w:rsid w:val="2D8B99CC"/>
    <w:rsid w:val="2EE65A8F"/>
    <w:rsid w:val="2FA22E30"/>
    <w:rsid w:val="2FCB26E2"/>
    <w:rsid w:val="3224AFC6"/>
    <w:rsid w:val="33ED671B"/>
    <w:rsid w:val="33F6C28B"/>
    <w:rsid w:val="34C38BB4"/>
    <w:rsid w:val="36DBAFF7"/>
    <w:rsid w:val="3737FECA"/>
    <w:rsid w:val="383DBB52"/>
    <w:rsid w:val="3841F86D"/>
    <w:rsid w:val="3851F9D4"/>
    <w:rsid w:val="38A66325"/>
    <w:rsid w:val="399D7923"/>
    <w:rsid w:val="3A32C059"/>
    <w:rsid w:val="3A457A86"/>
    <w:rsid w:val="3B1CA46C"/>
    <w:rsid w:val="3B85D7D0"/>
    <w:rsid w:val="3BDAADAA"/>
    <w:rsid w:val="3BDBBF80"/>
    <w:rsid w:val="40173F76"/>
    <w:rsid w:val="408DD1E6"/>
    <w:rsid w:val="40AB5671"/>
    <w:rsid w:val="410314E3"/>
    <w:rsid w:val="419463DA"/>
    <w:rsid w:val="4345DE90"/>
    <w:rsid w:val="43852886"/>
    <w:rsid w:val="438E92E0"/>
    <w:rsid w:val="439B7049"/>
    <w:rsid w:val="44C08721"/>
    <w:rsid w:val="44CB87F2"/>
    <w:rsid w:val="44EE5F45"/>
    <w:rsid w:val="4510B748"/>
    <w:rsid w:val="45207F6E"/>
    <w:rsid w:val="45302DA5"/>
    <w:rsid w:val="47888E21"/>
    <w:rsid w:val="47B788A4"/>
    <w:rsid w:val="493D2454"/>
    <w:rsid w:val="49A1E007"/>
    <w:rsid w:val="49AADD91"/>
    <w:rsid w:val="4C538197"/>
    <w:rsid w:val="4CDDDFAF"/>
    <w:rsid w:val="4CF524A2"/>
    <w:rsid w:val="4D06E552"/>
    <w:rsid w:val="4D1D0D2C"/>
    <w:rsid w:val="4EF84E08"/>
    <w:rsid w:val="4F12704D"/>
    <w:rsid w:val="4F97CFA0"/>
    <w:rsid w:val="4FB6022E"/>
    <w:rsid w:val="500CEFC4"/>
    <w:rsid w:val="507C6637"/>
    <w:rsid w:val="50E725A3"/>
    <w:rsid w:val="51ECB006"/>
    <w:rsid w:val="546C0197"/>
    <w:rsid w:val="549D3211"/>
    <w:rsid w:val="5553411F"/>
    <w:rsid w:val="55768A75"/>
    <w:rsid w:val="55D9306C"/>
    <w:rsid w:val="56A9C759"/>
    <w:rsid w:val="56C77DBF"/>
    <w:rsid w:val="56F7FEC7"/>
    <w:rsid w:val="5776E5BE"/>
    <w:rsid w:val="596B9D74"/>
    <w:rsid w:val="5A881FEF"/>
    <w:rsid w:val="5B922B91"/>
    <w:rsid w:val="5C0F0CE6"/>
    <w:rsid w:val="5C73B313"/>
    <w:rsid w:val="5F43D16D"/>
    <w:rsid w:val="608EDD0E"/>
    <w:rsid w:val="615AC662"/>
    <w:rsid w:val="62BE3237"/>
    <w:rsid w:val="647A46EC"/>
    <w:rsid w:val="65376173"/>
    <w:rsid w:val="67B21208"/>
    <w:rsid w:val="6828D74B"/>
    <w:rsid w:val="684AD170"/>
    <w:rsid w:val="69B7BBC2"/>
    <w:rsid w:val="6A84CF09"/>
    <w:rsid w:val="6C69F277"/>
    <w:rsid w:val="6D1010F8"/>
    <w:rsid w:val="6DF3D072"/>
    <w:rsid w:val="6E0C57EE"/>
    <w:rsid w:val="6E21F37B"/>
    <w:rsid w:val="6EE89C5C"/>
    <w:rsid w:val="6EF4962D"/>
    <w:rsid w:val="6F68E3F8"/>
    <w:rsid w:val="6F763917"/>
    <w:rsid w:val="724301DA"/>
    <w:rsid w:val="730A29E9"/>
    <w:rsid w:val="73AAD91F"/>
    <w:rsid w:val="73DBCCF0"/>
    <w:rsid w:val="752F5CA9"/>
    <w:rsid w:val="757DD4B5"/>
    <w:rsid w:val="759645EC"/>
    <w:rsid w:val="75A16BE8"/>
    <w:rsid w:val="75AB76E5"/>
    <w:rsid w:val="76093727"/>
    <w:rsid w:val="7760789C"/>
    <w:rsid w:val="7775E214"/>
    <w:rsid w:val="77A6F71A"/>
    <w:rsid w:val="77DE173F"/>
    <w:rsid w:val="78043881"/>
    <w:rsid w:val="783B61AA"/>
    <w:rsid w:val="78D45FCE"/>
    <w:rsid w:val="79D9586C"/>
    <w:rsid w:val="7A5DB9E4"/>
    <w:rsid w:val="7A89A04F"/>
    <w:rsid w:val="7D2E42AF"/>
    <w:rsid w:val="7E154C9A"/>
    <w:rsid w:val="7F00F37F"/>
    <w:rsid w:val="7F707081"/>
    <w:rsid w:val="7FB738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87B3"/>
  <w15:chartTrackingRefBased/>
  <w15:docId w15:val="{37CECD26-2347-6D44-BC78-B2C9CB47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58"/>
  </w:style>
  <w:style w:type="paragraph" w:styleId="Heading1">
    <w:name w:val="heading 1"/>
    <w:basedOn w:val="Normal"/>
    <w:next w:val="Normal"/>
    <w:link w:val="Heading1Char"/>
    <w:uiPriority w:val="9"/>
    <w:qFormat/>
    <w:rsid w:val="00807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4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2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2B04"/>
  </w:style>
  <w:style w:type="character" w:customStyle="1" w:styleId="eop">
    <w:name w:val="eop"/>
    <w:basedOn w:val="DefaultParagraphFont"/>
    <w:rsid w:val="00162B04"/>
  </w:style>
  <w:style w:type="character" w:customStyle="1" w:styleId="contentcontrolboundarysink">
    <w:name w:val="contentcontrolboundarysink"/>
    <w:basedOn w:val="DefaultParagraphFont"/>
    <w:rsid w:val="00162B04"/>
  </w:style>
  <w:style w:type="character" w:customStyle="1" w:styleId="superscript">
    <w:name w:val="superscript"/>
    <w:basedOn w:val="DefaultParagraphFont"/>
    <w:rsid w:val="00162B04"/>
  </w:style>
  <w:style w:type="paragraph" w:styleId="ListParagraph">
    <w:name w:val="List Paragraph"/>
    <w:basedOn w:val="Normal"/>
    <w:uiPriority w:val="34"/>
    <w:qFormat/>
    <w:rsid w:val="008816A3"/>
    <w:pPr>
      <w:ind w:left="720"/>
      <w:contextualSpacing/>
    </w:pPr>
  </w:style>
  <w:style w:type="character" w:styleId="CommentReference">
    <w:name w:val="annotation reference"/>
    <w:basedOn w:val="DefaultParagraphFont"/>
    <w:uiPriority w:val="99"/>
    <w:semiHidden/>
    <w:unhideWhenUsed/>
    <w:rsid w:val="009C5FB4"/>
    <w:rPr>
      <w:sz w:val="16"/>
      <w:szCs w:val="16"/>
    </w:rPr>
  </w:style>
  <w:style w:type="paragraph" w:styleId="CommentText">
    <w:name w:val="annotation text"/>
    <w:basedOn w:val="Normal"/>
    <w:link w:val="CommentTextChar"/>
    <w:uiPriority w:val="99"/>
    <w:unhideWhenUsed/>
    <w:rsid w:val="009C5FB4"/>
    <w:pPr>
      <w:spacing w:line="240" w:lineRule="auto"/>
    </w:pPr>
    <w:rPr>
      <w:sz w:val="20"/>
      <w:szCs w:val="20"/>
    </w:rPr>
  </w:style>
  <w:style w:type="character" w:customStyle="1" w:styleId="CommentTextChar">
    <w:name w:val="Comment Text Char"/>
    <w:basedOn w:val="DefaultParagraphFont"/>
    <w:link w:val="CommentText"/>
    <w:uiPriority w:val="99"/>
    <w:rsid w:val="009C5FB4"/>
    <w:rPr>
      <w:sz w:val="20"/>
      <w:szCs w:val="20"/>
    </w:rPr>
  </w:style>
  <w:style w:type="paragraph" w:styleId="CommentSubject">
    <w:name w:val="annotation subject"/>
    <w:basedOn w:val="CommentText"/>
    <w:next w:val="CommentText"/>
    <w:link w:val="CommentSubjectChar"/>
    <w:uiPriority w:val="99"/>
    <w:semiHidden/>
    <w:unhideWhenUsed/>
    <w:rsid w:val="009C5FB4"/>
    <w:rPr>
      <w:b/>
      <w:bCs/>
    </w:rPr>
  </w:style>
  <w:style w:type="character" w:customStyle="1" w:styleId="CommentSubjectChar">
    <w:name w:val="Comment Subject Char"/>
    <w:basedOn w:val="CommentTextChar"/>
    <w:link w:val="CommentSubject"/>
    <w:uiPriority w:val="99"/>
    <w:semiHidden/>
    <w:rsid w:val="009C5FB4"/>
    <w:rPr>
      <w:b/>
      <w:bCs/>
      <w:sz w:val="20"/>
      <w:szCs w:val="20"/>
    </w:rPr>
  </w:style>
  <w:style w:type="paragraph" w:styleId="Revision">
    <w:name w:val="Revision"/>
    <w:hidden/>
    <w:uiPriority w:val="99"/>
    <w:semiHidden/>
    <w:rsid w:val="0092438F"/>
    <w:pPr>
      <w:spacing w:after="0" w:line="240" w:lineRule="auto"/>
    </w:pPr>
  </w:style>
  <w:style w:type="paragraph" w:styleId="Header">
    <w:name w:val="header"/>
    <w:basedOn w:val="Normal"/>
    <w:link w:val="HeaderChar"/>
    <w:uiPriority w:val="99"/>
    <w:unhideWhenUsed/>
    <w:rsid w:val="00EF0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2F"/>
  </w:style>
  <w:style w:type="paragraph" w:styleId="Footer">
    <w:name w:val="footer"/>
    <w:basedOn w:val="Normal"/>
    <w:link w:val="FooterChar"/>
    <w:uiPriority w:val="99"/>
    <w:unhideWhenUsed/>
    <w:rsid w:val="00EF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2F"/>
  </w:style>
  <w:style w:type="character" w:styleId="Hyperlink">
    <w:name w:val="Hyperlink"/>
    <w:basedOn w:val="DefaultParagraphFont"/>
    <w:uiPriority w:val="99"/>
    <w:unhideWhenUsed/>
    <w:rsid w:val="00F66866"/>
    <w:rPr>
      <w:color w:val="0563C1" w:themeColor="hyperlink"/>
      <w:u w:val="single"/>
    </w:rPr>
  </w:style>
  <w:style w:type="character" w:styleId="UnresolvedMention">
    <w:name w:val="Unresolved Mention"/>
    <w:basedOn w:val="DefaultParagraphFont"/>
    <w:uiPriority w:val="99"/>
    <w:semiHidden/>
    <w:unhideWhenUsed/>
    <w:rsid w:val="00F66866"/>
    <w:rPr>
      <w:color w:val="605E5C"/>
      <w:shd w:val="clear" w:color="auto" w:fill="E1DFDD"/>
    </w:rPr>
  </w:style>
  <w:style w:type="character" w:customStyle="1" w:styleId="cf01">
    <w:name w:val="cf01"/>
    <w:basedOn w:val="DefaultParagraphFont"/>
    <w:rsid w:val="002A1FD3"/>
    <w:rPr>
      <w:rFonts w:ascii="Segoe UI" w:hAnsi="Segoe UI" w:cs="Segoe UI" w:hint="default"/>
      <w:sz w:val="18"/>
      <w:szCs w:val="18"/>
    </w:rPr>
  </w:style>
  <w:style w:type="character" w:styleId="Mention">
    <w:name w:val="Mention"/>
    <w:basedOn w:val="DefaultParagraphFont"/>
    <w:uiPriority w:val="99"/>
    <w:unhideWhenUsed/>
    <w:rsid w:val="00BB5137"/>
    <w:rPr>
      <w:color w:val="2B579A"/>
      <w:shd w:val="clear" w:color="auto" w:fill="E1DFDD"/>
    </w:rPr>
  </w:style>
  <w:style w:type="table" w:styleId="TableGrid">
    <w:name w:val="Table Grid"/>
    <w:basedOn w:val="TableNormal"/>
    <w:uiPriority w:val="39"/>
    <w:rsid w:val="00B6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1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E60"/>
    <w:rPr>
      <w:sz w:val="20"/>
      <w:szCs w:val="20"/>
    </w:rPr>
  </w:style>
  <w:style w:type="character" w:styleId="FootnoteReference">
    <w:name w:val="footnote reference"/>
    <w:basedOn w:val="DefaultParagraphFont"/>
    <w:uiPriority w:val="99"/>
    <w:semiHidden/>
    <w:unhideWhenUsed/>
    <w:rsid w:val="00017E60"/>
    <w:rPr>
      <w:vertAlign w:val="superscript"/>
    </w:rPr>
  </w:style>
  <w:style w:type="character" w:customStyle="1" w:styleId="ui-provider">
    <w:name w:val="ui-provider"/>
    <w:basedOn w:val="DefaultParagraphFont"/>
    <w:rsid w:val="00127A38"/>
  </w:style>
  <w:style w:type="character" w:customStyle="1" w:styleId="Heading1Char">
    <w:name w:val="Heading 1 Char"/>
    <w:basedOn w:val="DefaultParagraphFont"/>
    <w:link w:val="Heading1"/>
    <w:uiPriority w:val="9"/>
    <w:rsid w:val="00807BA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7C5F"/>
    <w:rPr>
      <w:color w:val="954F72" w:themeColor="followedHyperlink"/>
      <w:u w:val="single"/>
    </w:rPr>
  </w:style>
  <w:style w:type="character" w:customStyle="1" w:styleId="Heading2Char">
    <w:name w:val="Heading 2 Char"/>
    <w:basedOn w:val="DefaultParagraphFont"/>
    <w:link w:val="Heading2"/>
    <w:uiPriority w:val="9"/>
    <w:semiHidden/>
    <w:rsid w:val="00E843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4550">
      <w:bodyDiv w:val="1"/>
      <w:marLeft w:val="0"/>
      <w:marRight w:val="0"/>
      <w:marTop w:val="0"/>
      <w:marBottom w:val="0"/>
      <w:divBdr>
        <w:top w:val="none" w:sz="0" w:space="0" w:color="auto"/>
        <w:left w:val="none" w:sz="0" w:space="0" w:color="auto"/>
        <w:bottom w:val="none" w:sz="0" w:space="0" w:color="auto"/>
        <w:right w:val="none" w:sz="0" w:space="0" w:color="auto"/>
      </w:divBdr>
    </w:div>
    <w:div w:id="218640462">
      <w:bodyDiv w:val="1"/>
      <w:marLeft w:val="0"/>
      <w:marRight w:val="0"/>
      <w:marTop w:val="0"/>
      <w:marBottom w:val="0"/>
      <w:divBdr>
        <w:top w:val="none" w:sz="0" w:space="0" w:color="auto"/>
        <w:left w:val="none" w:sz="0" w:space="0" w:color="auto"/>
        <w:bottom w:val="none" w:sz="0" w:space="0" w:color="auto"/>
        <w:right w:val="none" w:sz="0" w:space="0" w:color="auto"/>
      </w:divBdr>
    </w:div>
    <w:div w:id="251209524">
      <w:bodyDiv w:val="1"/>
      <w:marLeft w:val="0"/>
      <w:marRight w:val="0"/>
      <w:marTop w:val="0"/>
      <w:marBottom w:val="0"/>
      <w:divBdr>
        <w:top w:val="none" w:sz="0" w:space="0" w:color="auto"/>
        <w:left w:val="none" w:sz="0" w:space="0" w:color="auto"/>
        <w:bottom w:val="none" w:sz="0" w:space="0" w:color="auto"/>
        <w:right w:val="none" w:sz="0" w:space="0" w:color="auto"/>
      </w:divBdr>
    </w:div>
    <w:div w:id="287057035">
      <w:bodyDiv w:val="1"/>
      <w:marLeft w:val="0"/>
      <w:marRight w:val="0"/>
      <w:marTop w:val="0"/>
      <w:marBottom w:val="0"/>
      <w:divBdr>
        <w:top w:val="none" w:sz="0" w:space="0" w:color="auto"/>
        <w:left w:val="none" w:sz="0" w:space="0" w:color="auto"/>
        <w:bottom w:val="none" w:sz="0" w:space="0" w:color="auto"/>
        <w:right w:val="none" w:sz="0" w:space="0" w:color="auto"/>
      </w:divBdr>
    </w:div>
    <w:div w:id="514854899">
      <w:bodyDiv w:val="1"/>
      <w:marLeft w:val="0"/>
      <w:marRight w:val="0"/>
      <w:marTop w:val="0"/>
      <w:marBottom w:val="0"/>
      <w:divBdr>
        <w:top w:val="none" w:sz="0" w:space="0" w:color="auto"/>
        <w:left w:val="none" w:sz="0" w:space="0" w:color="auto"/>
        <w:bottom w:val="none" w:sz="0" w:space="0" w:color="auto"/>
        <w:right w:val="none" w:sz="0" w:space="0" w:color="auto"/>
      </w:divBdr>
    </w:div>
    <w:div w:id="722758241">
      <w:bodyDiv w:val="1"/>
      <w:marLeft w:val="0"/>
      <w:marRight w:val="0"/>
      <w:marTop w:val="0"/>
      <w:marBottom w:val="0"/>
      <w:divBdr>
        <w:top w:val="none" w:sz="0" w:space="0" w:color="auto"/>
        <w:left w:val="none" w:sz="0" w:space="0" w:color="auto"/>
        <w:bottom w:val="none" w:sz="0" w:space="0" w:color="auto"/>
        <w:right w:val="none" w:sz="0" w:space="0" w:color="auto"/>
      </w:divBdr>
    </w:div>
    <w:div w:id="797139915">
      <w:bodyDiv w:val="1"/>
      <w:marLeft w:val="0"/>
      <w:marRight w:val="0"/>
      <w:marTop w:val="0"/>
      <w:marBottom w:val="0"/>
      <w:divBdr>
        <w:top w:val="none" w:sz="0" w:space="0" w:color="auto"/>
        <w:left w:val="none" w:sz="0" w:space="0" w:color="auto"/>
        <w:bottom w:val="none" w:sz="0" w:space="0" w:color="auto"/>
        <w:right w:val="none" w:sz="0" w:space="0" w:color="auto"/>
      </w:divBdr>
      <w:divsChild>
        <w:div w:id="932399258">
          <w:marLeft w:val="0"/>
          <w:marRight w:val="0"/>
          <w:marTop w:val="0"/>
          <w:marBottom w:val="0"/>
          <w:divBdr>
            <w:top w:val="none" w:sz="0" w:space="0" w:color="auto"/>
            <w:left w:val="none" w:sz="0" w:space="0" w:color="auto"/>
            <w:bottom w:val="none" w:sz="0" w:space="0" w:color="auto"/>
            <w:right w:val="none" w:sz="0" w:space="0" w:color="auto"/>
          </w:divBdr>
          <w:divsChild>
            <w:div w:id="678124972">
              <w:marLeft w:val="-75"/>
              <w:marRight w:val="0"/>
              <w:marTop w:val="30"/>
              <w:marBottom w:val="30"/>
              <w:divBdr>
                <w:top w:val="none" w:sz="0" w:space="0" w:color="auto"/>
                <w:left w:val="none" w:sz="0" w:space="0" w:color="auto"/>
                <w:bottom w:val="none" w:sz="0" w:space="0" w:color="auto"/>
                <w:right w:val="none" w:sz="0" w:space="0" w:color="auto"/>
              </w:divBdr>
              <w:divsChild>
                <w:div w:id="3676796">
                  <w:marLeft w:val="0"/>
                  <w:marRight w:val="0"/>
                  <w:marTop w:val="0"/>
                  <w:marBottom w:val="0"/>
                  <w:divBdr>
                    <w:top w:val="none" w:sz="0" w:space="0" w:color="auto"/>
                    <w:left w:val="none" w:sz="0" w:space="0" w:color="auto"/>
                    <w:bottom w:val="none" w:sz="0" w:space="0" w:color="auto"/>
                    <w:right w:val="none" w:sz="0" w:space="0" w:color="auto"/>
                  </w:divBdr>
                  <w:divsChild>
                    <w:div w:id="40834643">
                      <w:marLeft w:val="0"/>
                      <w:marRight w:val="0"/>
                      <w:marTop w:val="0"/>
                      <w:marBottom w:val="0"/>
                      <w:divBdr>
                        <w:top w:val="none" w:sz="0" w:space="0" w:color="auto"/>
                        <w:left w:val="none" w:sz="0" w:space="0" w:color="auto"/>
                        <w:bottom w:val="none" w:sz="0" w:space="0" w:color="auto"/>
                        <w:right w:val="none" w:sz="0" w:space="0" w:color="auto"/>
                      </w:divBdr>
                    </w:div>
                  </w:divsChild>
                </w:div>
                <w:div w:id="34157900">
                  <w:marLeft w:val="0"/>
                  <w:marRight w:val="0"/>
                  <w:marTop w:val="0"/>
                  <w:marBottom w:val="0"/>
                  <w:divBdr>
                    <w:top w:val="none" w:sz="0" w:space="0" w:color="auto"/>
                    <w:left w:val="none" w:sz="0" w:space="0" w:color="auto"/>
                    <w:bottom w:val="none" w:sz="0" w:space="0" w:color="auto"/>
                    <w:right w:val="none" w:sz="0" w:space="0" w:color="auto"/>
                  </w:divBdr>
                  <w:divsChild>
                    <w:div w:id="1602104119">
                      <w:marLeft w:val="0"/>
                      <w:marRight w:val="0"/>
                      <w:marTop w:val="0"/>
                      <w:marBottom w:val="0"/>
                      <w:divBdr>
                        <w:top w:val="none" w:sz="0" w:space="0" w:color="auto"/>
                        <w:left w:val="none" w:sz="0" w:space="0" w:color="auto"/>
                        <w:bottom w:val="none" w:sz="0" w:space="0" w:color="auto"/>
                        <w:right w:val="none" w:sz="0" w:space="0" w:color="auto"/>
                      </w:divBdr>
                    </w:div>
                  </w:divsChild>
                </w:div>
                <w:div w:id="124593158">
                  <w:marLeft w:val="0"/>
                  <w:marRight w:val="0"/>
                  <w:marTop w:val="0"/>
                  <w:marBottom w:val="0"/>
                  <w:divBdr>
                    <w:top w:val="none" w:sz="0" w:space="0" w:color="auto"/>
                    <w:left w:val="none" w:sz="0" w:space="0" w:color="auto"/>
                    <w:bottom w:val="none" w:sz="0" w:space="0" w:color="auto"/>
                    <w:right w:val="none" w:sz="0" w:space="0" w:color="auto"/>
                  </w:divBdr>
                  <w:divsChild>
                    <w:div w:id="869681167">
                      <w:marLeft w:val="0"/>
                      <w:marRight w:val="0"/>
                      <w:marTop w:val="0"/>
                      <w:marBottom w:val="0"/>
                      <w:divBdr>
                        <w:top w:val="none" w:sz="0" w:space="0" w:color="auto"/>
                        <w:left w:val="none" w:sz="0" w:space="0" w:color="auto"/>
                        <w:bottom w:val="none" w:sz="0" w:space="0" w:color="auto"/>
                        <w:right w:val="none" w:sz="0" w:space="0" w:color="auto"/>
                      </w:divBdr>
                    </w:div>
                  </w:divsChild>
                </w:div>
                <w:div w:id="197358795">
                  <w:marLeft w:val="0"/>
                  <w:marRight w:val="0"/>
                  <w:marTop w:val="0"/>
                  <w:marBottom w:val="0"/>
                  <w:divBdr>
                    <w:top w:val="none" w:sz="0" w:space="0" w:color="auto"/>
                    <w:left w:val="none" w:sz="0" w:space="0" w:color="auto"/>
                    <w:bottom w:val="none" w:sz="0" w:space="0" w:color="auto"/>
                    <w:right w:val="none" w:sz="0" w:space="0" w:color="auto"/>
                  </w:divBdr>
                  <w:divsChild>
                    <w:div w:id="1981956765">
                      <w:marLeft w:val="0"/>
                      <w:marRight w:val="0"/>
                      <w:marTop w:val="0"/>
                      <w:marBottom w:val="0"/>
                      <w:divBdr>
                        <w:top w:val="none" w:sz="0" w:space="0" w:color="auto"/>
                        <w:left w:val="none" w:sz="0" w:space="0" w:color="auto"/>
                        <w:bottom w:val="none" w:sz="0" w:space="0" w:color="auto"/>
                        <w:right w:val="none" w:sz="0" w:space="0" w:color="auto"/>
                      </w:divBdr>
                    </w:div>
                    <w:div w:id="2128812691">
                      <w:marLeft w:val="0"/>
                      <w:marRight w:val="0"/>
                      <w:marTop w:val="0"/>
                      <w:marBottom w:val="0"/>
                      <w:divBdr>
                        <w:top w:val="none" w:sz="0" w:space="0" w:color="auto"/>
                        <w:left w:val="none" w:sz="0" w:space="0" w:color="auto"/>
                        <w:bottom w:val="none" w:sz="0" w:space="0" w:color="auto"/>
                        <w:right w:val="none" w:sz="0" w:space="0" w:color="auto"/>
                      </w:divBdr>
                    </w:div>
                  </w:divsChild>
                </w:div>
                <w:div w:id="215626575">
                  <w:marLeft w:val="0"/>
                  <w:marRight w:val="0"/>
                  <w:marTop w:val="0"/>
                  <w:marBottom w:val="0"/>
                  <w:divBdr>
                    <w:top w:val="none" w:sz="0" w:space="0" w:color="auto"/>
                    <w:left w:val="none" w:sz="0" w:space="0" w:color="auto"/>
                    <w:bottom w:val="none" w:sz="0" w:space="0" w:color="auto"/>
                    <w:right w:val="none" w:sz="0" w:space="0" w:color="auto"/>
                  </w:divBdr>
                  <w:divsChild>
                    <w:div w:id="964238698">
                      <w:marLeft w:val="0"/>
                      <w:marRight w:val="0"/>
                      <w:marTop w:val="0"/>
                      <w:marBottom w:val="0"/>
                      <w:divBdr>
                        <w:top w:val="none" w:sz="0" w:space="0" w:color="auto"/>
                        <w:left w:val="none" w:sz="0" w:space="0" w:color="auto"/>
                        <w:bottom w:val="none" w:sz="0" w:space="0" w:color="auto"/>
                        <w:right w:val="none" w:sz="0" w:space="0" w:color="auto"/>
                      </w:divBdr>
                    </w:div>
                  </w:divsChild>
                </w:div>
                <w:div w:id="394938372">
                  <w:marLeft w:val="0"/>
                  <w:marRight w:val="0"/>
                  <w:marTop w:val="0"/>
                  <w:marBottom w:val="0"/>
                  <w:divBdr>
                    <w:top w:val="none" w:sz="0" w:space="0" w:color="auto"/>
                    <w:left w:val="none" w:sz="0" w:space="0" w:color="auto"/>
                    <w:bottom w:val="none" w:sz="0" w:space="0" w:color="auto"/>
                    <w:right w:val="none" w:sz="0" w:space="0" w:color="auto"/>
                  </w:divBdr>
                  <w:divsChild>
                    <w:div w:id="1859537048">
                      <w:marLeft w:val="0"/>
                      <w:marRight w:val="0"/>
                      <w:marTop w:val="0"/>
                      <w:marBottom w:val="0"/>
                      <w:divBdr>
                        <w:top w:val="none" w:sz="0" w:space="0" w:color="auto"/>
                        <w:left w:val="none" w:sz="0" w:space="0" w:color="auto"/>
                        <w:bottom w:val="none" w:sz="0" w:space="0" w:color="auto"/>
                        <w:right w:val="none" w:sz="0" w:space="0" w:color="auto"/>
                      </w:divBdr>
                    </w:div>
                  </w:divsChild>
                </w:div>
                <w:div w:id="475799910">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
                  </w:divsChild>
                </w:div>
                <w:div w:id="481578910">
                  <w:marLeft w:val="0"/>
                  <w:marRight w:val="0"/>
                  <w:marTop w:val="0"/>
                  <w:marBottom w:val="0"/>
                  <w:divBdr>
                    <w:top w:val="none" w:sz="0" w:space="0" w:color="auto"/>
                    <w:left w:val="none" w:sz="0" w:space="0" w:color="auto"/>
                    <w:bottom w:val="none" w:sz="0" w:space="0" w:color="auto"/>
                    <w:right w:val="none" w:sz="0" w:space="0" w:color="auto"/>
                  </w:divBdr>
                  <w:divsChild>
                    <w:div w:id="1870293977">
                      <w:marLeft w:val="0"/>
                      <w:marRight w:val="0"/>
                      <w:marTop w:val="0"/>
                      <w:marBottom w:val="0"/>
                      <w:divBdr>
                        <w:top w:val="none" w:sz="0" w:space="0" w:color="auto"/>
                        <w:left w:val="none" w:sz="0" w:space="0" w:color="auto"/>
                        <w:bottom w:val="none" w:sz="0" w:space="0" w:color="auto"/>
                        <w:right w:val="none" w:sz="0" w:space="0" w:color="auto"/>
                      </w:divBdr>
                    </w:div>
                  </w:divsChild>
                </w:div>
                <w:div w:id="577832280">
                  <w:marLeft w:val="0"/>
                  <w:marRight w:val="0"/>
                  <w:marTop w:val="0"/>
                  <w:marBottom w:val="0"/>
                  <w:divBdr>
                    <w:top w:val="none" w:sz="0" w:space="0" w:color="auto"/>
                    <w:left w:val="none" w:sz="0" w:space="0" w:color="auto"/>
                    <w:bottom w:val="none" w:sz="0" w:space="0" w:color="auto"/>
                    <w:right w:val="none" w:sz="0" w:space="0" w:color="auto"/>
                  </w:divBdr>
                  <w:divsChild>
                    <w:div w:id="1657799334">
                      <w:marLeft w:val="0"/>
                      <w:marRight w:val="0"/>
                      <w:marTop w:val="0"/>
                      <w:marBottom w:val="0"/>
                      <w:divBdr>
                        <w:top w:val="none" w:sz="0" w:space="0" w:color="auto"/>
                        <w:left w:val="none" w:sz="0" w:space="0" w:color="auto"/>
                        <w:bottom w:val="none" w:sz="0" w:space="0" w:color="auto"/>
                        <w:right w:val="none" w:sz="0" w:space="0" w:color="auto"/>
                      </w:divBdr>
                    </w:div>
                  </w:divsChild>
                </w:div>
                <w:div w:id="578950777">
                  <w:marLeft w:val="0"/>
                  <w:marRight w:val="0"/>
                  <w:marTop w:val="0"/>
                  <w:marBottom w:val="0"/>
                  <w:divBdr>
                    <w:top w:val="none" w:sz="0" w:space="0" w:color="auto"/>
                    <w:left w:val="none" w:sz="0" w:space="0" w:color="auto"/>
                    <w:bottom w:val="none" w:sz="0" w:space="0" w:color="auto"/>
                    <w:right w:val="none" w:sz="0" w:space="0" w:color="auto"/>
                  </w:divBdr>
                  <w:divsChild>
                    <w:div w:id="1080905080">
                      <w:marLeft w:val="0"/>
                      <w:marRight w:val="0"/>
                      <w:marTop w:val="0"/>
                      <w:marBottom w:val="0"/>
                      <w:divBdr>
                        <w:top w:val="none" w:sz="0" w:space="0" w:color="auto"/>
                        <w:left w:val="none" w:sz="0" w:space="0" w:color="auto"/>
                        <w:bottom w:val="none" w:sz="0" w:space="0" w:color="auto"/>
                        <w:right w:val="none" w:sz="0" w:space="0" w:color="auto"/>
                      </w:divBdr>
                    </w:div>
                  </w:divsChild>
                </w:div>
                <w:div w:id="631517428">
                  <w:marLeft w:val="0"/>
                  <w:marRight w:val="0"/>
                  <w:marTop w:val="0"/>
                  <w:marBottom w:val="0"/>
                  <w:divBdr>
                    <w:top w:val="none" w:sz="0" w:space="0" w:color="auto"/>
                    <w:left w:val="none" w:sz="0" w:space="0" w:color="auto"/>
                    <w:bottom w:val="none" w:sz="0" w:space="0" w:color="auto"/>
                    <w:right w:val="none" w:sz="0" w:space="0" w:color="auto"/>
                  </w:divBdr>
                  <w:divsChild>
                    <w:div w:id="1320306247">
                      <w:marLeft w:val="0"/>
                      <w:marRight w:val="0"/>
                      <w:marTop w:val="0"/>
                      <w:marBottom w:val="0"/>
                      <w:divBdr>
                        <w:top w:val="none" w:sz="0" w:space="0" w:color="auto"/>
                        <w:left w:val="none" w:sz="0" w:space="0" w:color="auto"/>
                        <w:bottom w:val="none" w:sz="0" w:space="0" w:color="auto"/>
                        <w:right w:val="none" w:sz="0" w:space="0" w:color="auto"/>
                      </w:divBdr>
                    </w:div>
                  </w:divsChild>
                </w:div>
                <w:div w:id="631836334">
                  <w:marLeft w:val="0"/>
                  <w:marRight w:val="0"/>
                  <w:marTop w:val="0"/>
                  <w:marBottom w:val="0"/>
                  <w:divBdr>
                    <w:top w:val="none" w:sz="0" w:space="0" w:color="auto"/>
                    <w:left w:val="none" w:sz="0" w:space="0" w:color="auto"/>
                    <w:bottom w:val="none" w:sz="0" w:space="0" w:color="auto"/>
                    <w:right w:val="none" w:sz="0" w:space="0" w:color="auto"/>
                  </w:divBdr>
                  <w:divsChild>
                    <w:div w:id="72092297">
                      <w:marLeft w:val="0"/>
                      <w:marRight w:val="0"/>
                      <w:marTop w:val="0"/>
                      <w:marBottom w:val="0"/>
                      <w:divBdr>
                        <w:top w:val="none" w:sz="0" w:space="0" w:color="auto"/>
                        <w:left w:val="none" w:sz="0" w:space="0" w:color="auto"/>
                        <w:bottom w:val="none" w:sz="0" w:space="0" w:color="auto"/>
                        <w:right w:val="none" w:sz="0" w:space="0" w:color="auto"/>
                      </w:divBdr>
                    </w:div>
                    <w:div w:id="210922716">
                      <w:marLeft w:val="0"/>
                      <w:marRight w:val="0"/>
                      <w:marTop w:val="0"/>
                      <w:marBottom w:val="0"/>
                      <w:divBdr>
                        <w:top w:val="none" w:sz="0" w:space="0" w:color="auto"/>
                        <w:left w:val="none" w:sz="0" w:space="0" w:color="auto"/>
                        <w:bottom w:val="none" w:sz="0" w:space="0" w:color="auto"/>
                        <w:right w:val="none" w:sz="0" w:space="0" w:color="auto"/>
                      </w:divBdr>
                    </w:div>
                    <w:div w:id="373164139">
                      <w:marLeft w:val="0"/>
                      <w:marRight w:val="0"/>
                      <w:marTop w:val="0"/>
                      <w:marBottom w:val="0"/>
                      <w:divBdr>
                        <w:top w:val="none" w:sz="0" w:space="0" w:color="auto"/>
                        <w:left w:val="none" w:sz="0" w:space="0" w:color="auto"/>
                        <w:bottom w:val="none" w:sz="0" w:space="0" w:color="auto"/>
                        <w:right w:val="none" w:sz="0" w:space="0" w:color="auto"/>
                      </w:divBdr>
                    </w:div>
                  </w:divsChild>
                </w:div>
                <w:div w:id="658382192">
                  <w:marLeft w:val="0"/>
                  <w:marRight w:val="0"/>
                  <w:marTop w:val="0"/>
                  <w:marBottom w:val="0"/>
                  <w:divBdr>
                    <w:top w:val="none" w:sz="0" w:space="0" w:color="auto"/>
                    <w:left w:val="none" w:sz="0" w:space="0" w:color="auto"/>
                    <w:bottom w:val="none" w:sz="0" w:space="0" w:color="auto"/>
                    <w:right w:val="none" w:sz="0" w:space="0" w:color="auto"/>
                  </w:divBdr>
                  <w:divsChild>
                    <w:div w:id="1875725468">
                      <w:marLeft w:val="0"/>
                      <w:marRight w:val="0"/>
                      <w:marTop w:val="0"/>
                      <w:marBottom w:val="0"/>
                      <w:divBdr>
                        <w:top w:val="none" w:sz="0" w:space="0" w:color="auto"/>
                        <w:left w:val="none" w:sz="0" w:space="0" w:color="auto"/>
                        <w:bottom w:val="none" w:sz="0" w:space="0" w:color="auto"/>
                        <w:right w:val="none" w:sz="0" w:space="0" w:color="auto"/>
                      </w:divBdr>
                    </w:div>
                  </w:divsChild>
                </w:div>
                <w:div w:id="691998017">
                  <w:marLeft w:val="0"/>
                  <w:marRight w:val="0"/>
                  <w:marTop w:val="0"/>
                  <w:marBottom w:val="0"/>
                  <w:divBdr>
                    <w:top w:val="none" w:sz="0" w:space="0" w:color="auto"/>
                    <w:left w:val="none" w:sz="0" w:space="0" w:color="auto"/>
                    <w:bottom w:val="none" w:sz="0" w:space="0" w:color="auto"/>
                    <w:right w:val="none" w:sz="0" w:space="0" w:color="auto"/>
                  </w:divBdr>
                  <w:divsChild>
                    <w:div w:id="1666741387">
                      <w:marLeft w:val="0"/>
                      <w:marRight w:val="0"/>
                      <w:marTop w:val="0"/>
                      <w:marBottom w:val="0"/>
                      <w:divBdr>
                        <w:top w:val="none" w:sz="0" w:space="0" w:color="auto"/>
                        <w:left w:val="none" w:sz="0" w:space="0" w:color="auto"/>
                        <w:bottom w:val="none" w:sz="0" w:space="0" w:color="auto"/>
                        <w:right w:val="none" w:sz="0" w:space="0" w:color="auto"/>
                      </w:divBdr>
                    </w:div>
                  </w:divsChild>
                </w:div>
                <w:div w:id="908226347">
                  <w:marLeft w:val="0"/>
                  <w:marRight w:val="0"/>
                  <w:marTop w:val="0"/>
                  <w:marBottom w:val="0"/>
                  <w:divBdr>
                    <w:top w:val="none" w:sz="0" w:space="0" w:color="auto"/>
                    <w:left w:val="none" w:sz="0" w:space="0" w:color="auto"/>
                    <w:bottom w:val="none" w:sz="0" w:space="0" w:color="auto"/>
                    <w:right w:val="none" w:sz="0" w:space="0" w:color="auto"/>
                  </w:divBdr>
                  <w:divsChild>
                    <w:div w:id="316492656">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55496915">
                      <w:marLeft w:val="0"/>
                      <w:marRight w:val="0"/>
                      <w:marTop w:val="0"/>
                      <w:marBottom w:val="0"/>
                      <w:divBdr>
                        <w:top w:val="none" w:sz="0" w:space="0" w:color="auto"/>
                        <w:left w:val="none" w:sz="0" w:space="0" w:color="auto"/>
                        <w:bottom w:val="none" w:sz="0" w:space="0" w:color="auto"/>
                        <w:right w:val="none" w:sz="0" w:space="0" w:color="auto"/>
                      </w:divBdr>
                    </w:div>
                  </w:divsChild>
                </w:div>
                <w:div w:id="1112164631">
                  <w:marLeft w:val="0"/>
                  <w:marRight w:val="0"/>
                  <w:marTop w:val="0"/>
                  <w:marBottom w:val="0"/>
                  <w:divBdr>
                    <w:top w:val="none" w:sz="0" w:space="0" w:color="auto"/>
                    <w:left w:val="none" w:sz="0" w:space="0" w:color="auto"/>
                    <w:bottom w:val="none" w:sz="0" w:space="0" w:color="auto"/>
                    <w:right w:val="none" w:sz="0" w:space="0" w:color="auto"/>
                  </w:divBdr>
                  <w:divsChild>
                    <w:div w:id="1327125461">
                      <w:marLeft w:val="0"/>
                      <w:marRight w:val="0"/>
                      <w:marTop w:val="0"/>
                      <w:marBottom w:val="0"/>
                      <w:divBdr>
                        <w:top w:val="none" w:sz="0" w:space="0" w:color="auto"/>
                        <w:left w:val="none" w:sz="0" w:space="0" w:color="auto"/>
                        <w:bottom w:val="none" w:sz="0" w:space="0" w:color="auto"/>
                        <w:right w:val="none" w:sz="0" w:space="0" w:color="auto"/>
                      </w:divBdr>
                    </w:div>
                  </w:divsChild>
                </w:div>
                <w:div w:id="1229799772">
                  <w:marLeft w:val="0"/>
                  <w:marRight w:val="0"/>
                  <w:marTop w:val="0"/>
                  <w:marBottom w:val="0"/>
                  <w:divBdr>
                    <w:top w:val="none" w:sz="0" w:space="0" w:color="auto"/>
                    <w:left w:val="none" w:sz="0" w:space="0" w:color="auto"/>
                    <w:bottom w:val="none" w:sz="0" w:space="0" w:color="auto"/>
                    <w:right w:val="none" w:sz="0" w:space="0" w:color="auto"/>
                  </w:divBdr>
                  <w:divsChild>
                    <w:div w:id="1431514033">
                      <w:marLeft w:val="0"/>
                      <w:marRight w:val="0"/>
                      <w:marTop w:val="0"/>
                      <w:marBottom w:val="0"/>
                      <w:divBdr>
                        <w:top w:val="none" w:sz="0" w:space="0" w:color="auto"/>
                        <w:left w:val="none" w:sz="0" w:space="0" w:color="auto"/>
                        <w:bottom w:val="none" w:sz="0" w:space="0" w:color="auto"/>
                        <w:right w:val="none" w:sz="0" w:space="0" w:color="auto"/>
                      </w:divBdr>
                    </w:div>
                  </w:divsChild>
                </w:div>
                <w:div w:id="1410466097">
                  <w:marLeft w:val="0"/>
                  <w:marRight w:val="0"/>
                  <w:marTop w:val="0"/>
                  <w:marBottom w:val="0"/>
                  <w:divBdr>
                    <w:top w:val="none" w:sz="0" w:space="0" w:color="auto"/>
                    <w:left w:val="none" w:sz="0" w:space="0" w:color="auto"/>
                    <w:bottom w:val="none" w:sz="0" w:space="0" w:color="auto"/>
                    <w:right w:val="none" w:sz="0" w:space="0" w:color="auto"/>
                  </w:divBdr>
                  <w:divsChild>
                    <w:div w:id="621614244">
                      <w:marLeft w:val="0"/>
                      <w:marRight w:val="0"/>
                      <w:marTop w:val="0"/>
                      <w:marBottom w:val="0"/>
                      <w:divBdr>
                        <w:top w:val="none" w:sz="0" w:space="0" w:color="auto"/>
                        <w:left w:val="none" w:sz="0" w:space="0" w:color="auto"/>
                        <w:bottom w:val="none" w:sz="0" w:space="0" w:color="auto"/>
                        <w:right w:val="none" w:sz="0" w:space="0" w:color="auto"/>
                      </w:divBdr>
                    </w:div>
                  </w:divsChild>
                </w:div>
                <w:div w:id="1478065475">
                  <w:marLeft w:val="0"/>
                  <w:marRight w:val="0"/>
                  <w:marTop w:val="0"/>
                  <w:marBottom w:val="0"/>
                  <w:divBdr>
                    <w:top w:val="none" w:sz="0" w:space="0" w:color="auto"/>
                    <w:left w:val="none" w:sz="0" w:space="0" w:color="auto"/>
                    <w:bottom w:val="none" w:sz="0" w:space="0" w:color="auto"/>
                    <w:right w:val="none" w:sz="0" w:space="0" w:color="auto"/>
                  </w:divBdr>
                  <w:divsChild>
                    <w:div w:id="1444303016">
                      <w:marLeft w:val="0"/>
                      <w:marRight w:val="0"/>
                      <w:marTop w:val="0"/>
                      <w:marBottom w:val="0"/>
                      <w:divBdr>
                        <w:top w:val="none" w:sz="0" w:space="0" w:color="auto"/>
                        <w:left w:val="none" w:sz="0" w:space="0" w:color="auto"/>
                        <w:bottom w:val="none" w:sz="0" w:space="0" w:color="auto"/>
                        <w:right w:val="none" w:sz="0" w:space="0" w:color="auto"/>
                      </w:divBdr>
                    </w:div>
                  </w:divsChild>
                </w:div>
                <w:div w:id="1509641767">
                  <w:marLeft w:val="0"/>
                  <w:marRight w:val="0"/>
                  <w:marTop w:val="0"/>
                  <w:marBottom w:val="0"/>
                  <w:divBdr>
                    <w:top w:val="none" w:sz="0" w:space="0" w:color="auto"/>
                    <w:left w:val="none" w:sz="0" w:space="0" w:color="auto"/>
                    <w:bottom w:val="none" w:sz="0" w:space="0" w:color="auto"/>
                    <w:right w:val="none" w:sz="0" w:space="0" w:color="auto"/>
                  </w:divBdr>
                  <w:divsChild>
                    <w:div w:id="917862751">
                      <w:marLeft w:val="0"/>
                      <w:marRight w:val="0"/>
                      <w:marTop w:val="0"/>
                      <w:marBottom w:val="0"/>
                      <w:divBdr>
                        <w:top w:val="none" w:sz="0" w:space="0" w:color="auto"/>
                        <w:left w:val="none" w:sz="0" w:space="0" w:color="auto"/>
                        <w:bottom w:val="none" w:sz="0" w:space="0" w:color="auto"/>
                        <w:right w:val="none" w:sz="0" w:space="0" w:color="auto"/>
                      </w:divBdr>
                    </w:div>
                  </w:divsChild>
                </w:div>
                <w:div w:id="1514950685">
                  <w:marLeft w:val="0"/>
                  <w:marRight w:val="0"/>
                  <w:marTop w:val="0"/>
                  <w:marBottom w:val="0"/>
                  <w:divBdr>
                    <w:top w:val="none" w:sz="0" w:space="0" w:color="auto"/>
                    <w:left w:val="none" w:sz="0" w:space="0" w:color="auto"/>
                    <w:bottom w:val="none" w:sz="0" w:space="0" w:color="auto"/>
                    <w:right w:val="none" w:sz="0" w:space="0" w:color="auto"/>
                  </w:divBdr>
                  <w:divsChild>
                    <w:div w:id="974525788">
                      <w:marLeft w:val="0"/>
                      <w:marRight w:val="0"/>
                      <w:marTop w:val="0"/>
                      <w:marBottom w:val="0"/>
                      <w:divBdr>
                        <w:top w:val="none" w:sz="0" w:space="0" w:color="auto"/>
                        <w:left w:val="none" w:sz="0" w:space="0" w:color="auto"/>
                        <w:bottom w:val="none" w:sz="0" w:space="0" w:color="auto"/>
                        <w:right w:val="none" w:sz="0" w:space="0" w:color="auto"/>
                      </w:divBdr>
                    </w:div>
                    <w:div w:id="2132967358">
                      <w:marLeft w:val="0"/>
                      <w:marRight w:val="0"/>
                      <w:marTop w:val="0"/>
                      <w:marBottom w:val="0"/>
                      <w:divBdr>
                        <w:top w:val="none" w:sz="0" w:space="0" w:color="auto"/>
                        <w:left w:val="none" w:sz="0" w:space="0" w:color="auto"/>
                        <w:bottom w:val="none" w:sz="0" w:space="0" w:color="auto"/>
                        <w:right w:val="none" w:sz="0" w:space="0" w:color="auto"/>
                      </w:divBdr>
                    </w:div>
                  </w:divsChild>
                </w:div>
                <w:div w:id="1557158597">
                  <w:marLeft w:val="0"/>
                  <w:marRight w:val="0"/>
                  <w:marTop w:val="0"/>
                  <w:marBottom w:val="0"/>
                  <w:divBdr>
                    <w:top w:val="none" w:sz="0" w:space="0" w:color="auto"/>
                    <w:left w:val="none" w:sz="0" w:space="0" w:color="auto"/>
                    <w:bottom w:val="none" w:sz="0" w:space="0" w:color="auto"/>
                    <w:right w:val="none" w:sz="0" w:space="0" w:color="auto"/>
                  </w:divBdr>
                  <w:divsChild>
                    <w:div w:id="1066301698">
                      <w:marLeft w:val="0"/>
                      <w:marRight w:val="0"/>
                      <w:marTop w:val="0"/>
                      <w:marBottom w:val="0"/>
                      <w:divBdr>
                        <w:top w:val="none" w:sz="0" w:space="0" w:color="auto"/>
                        <w:left w:val="none" w:sz="0" w:space="0" w:color="auto"/>
                        <w:bottom w:val="none" w:sz="0" w:space="0" w:color="auto"/>
                        <w:right w:val="none" w:sz="0" w:space="0" w:color="auto"/>
                      </w:divBdr>
                    </w:div>
                  </w:divsChild>
                </w:div>
                <w:div w:id="1639142952">
                  <w:marLeft w:val="0"/>
                  <w:marRight w:val="0"/>
                  <w:marTop w:val="0"/>
                  <w:marBottom w:val="0"/>
                  <w:divBdr>
                    <w:top w:val="none" w:sz="0" w:space="0" w:color="auto"/>
                    <w:left w:val="none" w:sz="0" w:space="0" w:color="auto"/>
                    <w:bottom w:val="none" w:sz="0" w:space="0" w:color="auto"/>
                    <w:right w:val="none" w:sz="0" w:space="0" w:color="auto"/>
                  </w:divBdr>
                  <w:divsChild>
                    <w:div w:id="187066228">
                      <w:marLeft w:val="0"/>
                      <w:marRight w:val="0"/>
                      <w:marTop w:val="0"/>
                      <w:marBottom w:val="0"/>
                      <w:divBdr>
                        <w:top w:val="none" w:sz="0" w:space="0" w:color="auto"/>
                        <w:left w:val="none" w:sz="0" w:space="0" w:color="auto"/>
                        <w:bottom w:val="none" w:sz="0" w:space="0" w:color="auto"/>
                        <w:right w:val="none" w:sz="0" w:space="0" w:color="auto"/>
                      </w:divBdr>
                    </w:div>
                  </w:divsChild>
                </w:div>
                <w:div w:id="1650666240">
                  <w:marLeft w:val="0"/>
                  <w:marRight w:val="0"/>
                  <w:marTop w:val="0"/>
                  <w:marBottom w:val="0"/>
                  <w:divBdr>
                    <w:top w:val="none" w:sz="0" w:space="0" w:color="auto"/>
                    <w:left w:val="none" w:sz="0" w:space="0" w:color="auto"/>
                    <w:bottom w:val="none" w:sz="0" w:space="0" w:color="auto"/>
                    <w:right w:val="none" w:sz="0" w:space="0" w:color="auto"/>
                  </w:divBdr>
                  <w:divsChild>
                    <w:div w:id="1008673570">
                      <w:marLeft w:val="0"/>
                      <w:marRight w:val="0"/>
                      <w:marTop w:val="0"/>
                      <w:marBottom w:val="0"/>
                      <w:divBdr>
                        <w:top w:val="none" w:sz="0" w:space="0" w:color="auto"/>
                        <w:left w:val="none" w:sz="0" w:space="0" w:color="auto"/>
                        <w:bottom w:val="none" w:sz="0" w:space="0" w:color="auto"/>
                        <w:right w:val="none" w:sz="0" w:space="0" w:color="auto"/>
                      </w:divBdr>
                    </w:div>
                  </w:divsChild>
                </w:div>
                <w:div w:id="1653101692">
                  <w:marLeft w:val="0"/>
                  <w:marRight w:val="0"/>
                  <w:marTop w:val="0"/>
                  <w:marBottom w:val="0"/>
                  <w:divBdr>
                    <w:top w:val="none" w:sz="0" w:space="0" w:color="auto"/>
                    <w:left w:val="none" w:sz="0" w:space="0" w:color="auto"/>
                    <w:bottom w:val="none" w:sz="0" w:space="0" w:color="auto"/>
                    <w:right w:val="none" w:sz="0" w:space="0" w:color="auto"/>
                  </w:divBdr>
                  <w:divsChild>
                    <w:div w:id="227419354">
                      <w:marLeft w:val="0"/>
                      <w:marRight w:val="0"/>
                      <w:marTop w:val="0"/>
                      <w:marBottom w:val="0"/>
                      <w:divBdr>
                        <w:top w:val="none" w:sz="0" w:space="0" w:color="auto"/>
                        <w:left w:val="none" w:sz="0" w:space="0" w:color="auto"/>
                        <w:bottom w:val="none" w:sz="0" w:space="0" w:color="auto"/>
                        <w:right w:val="none" w:sz="0" w:space="0" w:color="auto"/>
                      </w:divBdr>
                    </w:div>
                  </w:divsChild>
                </w:div>
                <w:div w:id="1670059991">
                  <w:marLeft w:val="0"/>
                  <w:marRight w:val="0"/>
                  <w:marTop w:val="0"/>
                  <w:marBottom w:val="0"/>
                  <w:divBdr>
                    <w:top w:val="none" w:sz="0" w:space="0" w:color="auto"/>
                    <w:left w:val="none" w:sz="0" w:space="0" w:color="auto"/>
                    <w:bottom w:val="none" w:sz="0" w:space="0" w:color="auto"/>
                    <w:right w:val="none" w:sz="0" w:space="0" w:color="auto"/>
                  </w:divBdr>
                  <w:divsChild>
                    <w:div w:id="1901675414">
                      <w:marLeft w:val="0"/>
                      <w:marRight w:val="0"/>
                      <w:marTop w:val="0"/>
                      <w:marBottom w:val="0"/>
                      <w:divBdr>
                        <w:top w:val="none" w:sz="0" w:space="0" w:color="auto"/>
                        <w:left w:val="none" w:sz="0" w:space="0" w:color="auto"/>
                        <w:bottom w:val="none" w:sz="0" w:space="0" w:color="auto"/>
                        <w:right w:val="none" w:sz="0" w:space="0" w:color="auto"/>
                      </w:divBdr>
                    </w:div>
                  </w:divsChild>
                </w:div>
                <w:div w:id="1675763767">
                  <w:marLeft w:val="0"/>
                  <w:marRight w:val="0"/>
                  <w:marTop w:val="0"/>
                  <w:marBottom w:val="0"/>
                  <w:divBdr>
                    <w:top w:val="none" w:sz="0" w:space="0" w:color="auto"/>
                    <w:left w:val="none" w:sz="0" w:space="0" w:color="auto"/>
                    <w:bottom w:val="none" w:sz="0" w:space="0" w:color="auto"/>
                    <w:right w:val="none" w:sz="0" w:space="0" w:color="auto"/>
                  </w:divBdr>
                  <w:divsChild>
                    <w:div w:id="477504624">
                      <w:marLeft w:val="0"/>
                      <w:marRight w:val="0"/>
                      <w:marTop w:val="0"/>
                      <w:marBottom w:val="0"/>
                      <w:divBdr>
                        <w:top w:val="none" w:sz="0" w:space="0" w:color="auto"/>
                        <w:left w:val="none" w:sz="0" w:space="0" w:color="auto"/>
                        <w:bottom w:val="none" w:sz="0" w:space="0" w:color="auto"/>
                        <w:right w:val="none" w:sz="0" w:space="0" w:color="auto"/>
                      </w:divBdr>
                    </w:div>
                  </w:divsChild>
                </w:div>
                <w:div w:id="1739278336">
                  <w:marLeft w:val="0"/>
                  <w:marRight w:val="0"/>
                  <w:marTop w:val="0"/>
                  <w:marBottom w:val="0"/>
                  <w:divBdr>
                    <w:top w:val="none" w:sz="0" w:space="0" w:color="auto"/>
                    <w:left w:val="none" w:sz="0" w:space="0" w:color="auto"/>
                    <w:bottom w:val="none" w:sz="0" w:space="0" w:color="auto"/>
                    <w:right w:val="none" w:sz="0" w:space="0" w:color="auto"/>
                  </w:divBdr>
                  <w:divsChild>
                    <w:div w:id="371687092">
                      <w:marLeft w:val="0"/>
                      <w:marRight w:val="0"/>
                      <w:marTop w:val="0"/>
                      <w:marBottom w:val="0"/>
                      <w:divBdr>
                        <w:top w:val="none" w:sz="0" w:space="0" w:color="auto"/>
                        <w:left w:val="none" w:sz="0" w:space="0" w:color="auto"/>
                        <w:bottom w:val="none" w:sz="0" w:space="0" w:color="auto"/>
                        <w:right w:val="none" w:sz="0" w:space="0" w:color="auto"/>
                      </w:divBdr>
                    </w:div>
                  </w:divsChild>
                </w:div>
                <w:div w:id="1765765007">
                  <w:marLeft w:val="0"/>
                  <w:marRight w:val="0"/>
                  <w:marTop w:val="0"/>
                  <w:marBottom w:val="0"/>
                  <w:divBdr>
                    <w:top w:val="none" w:sz="0" w:space="0" w:color="auto"/>
                    <w:left w:val="none" w:sz="0" w:space="0" w:color="auto"/>
                    <w:bottom w:val="none" w:sz="0" w:space="0" w:color="auto"/>
                    <w:right w:val="none" w:sz="0" w:space="0" w:color="auto"/>
                  </w:divBdr>
                  <w:divsChild>
                    <w:div w:id="1542014270">
                      <w:marLeft w:val="0"/>
                      <w:marRight w:val="0"/>
                      <w:marTop w:val="0"/>
                      <w:marBottom w:val="0"/>
                      <w:divBdr>
                        <w:top w:val="none" w:sz="0" w:space="0" w:color="auto"/>
                        <w:left w:val="none" w:sz="0" w:space="0" w:color="auto"/>
                        <w:bottom w:val="none" w:sz="0" w:space="0" w:color="auto"/>
                        <w:right w:val="none" w:sz="0" w:space="0" w:color="auto"/>
                      </w:divBdr>
                    </w:div>
                  </w:divsChild>
                </w:div>
                <w:div w:id="1775053890">
                  <w:marLeft w:val="0"/>
                  <w:marRight w:val="0"/>
                  <w:marTop w:val="0"/>
                  <w:marBottom w:val="0"/>
                  <w:divBdr>
                    <w:top w:val="none" w:sz="0" w:space="0" w:color="auto"/>
                    <w:left w:val="none" w:sz="0" w:space="0" w:color="auto"/>
                    <w:bottom w:val="none" w:sz="0" w:space="0" w:color="auto"/>
                    <w:right w:val="none" w:sz="0" w:space="0" w:color="auto"/>
                  </w:divBdr>
                  <w:divsChild>
                    <w:div w:id="1551305625">
                      <w:marLeft w:val="0"/>
                      <w:marRight w:val="0"/>
                      <w:marTop w:val="0"/>
                      <w:marBottom w:val="0"/>
                      <w:divBdr>
                        <w:top w:val="none" w:sz="0" w:space="0" w:color="auto"/>
                        <w:left w:val="none" w:sz="0" w:space="0" w:color="auto"/>
                        <w:bottom w:val="none" w:sz="0" w:space="0" w:color="auto"/>
                        <w:right w:val="none" w:sz="0" w:space="0" w:color="auto"/>
                      </w:divBdr>
                    </w:div>
                  </w:divsChild>
                </w:div>
                <w:div w:id="1778712641">
                  <w:marLeft w:val="0"/>
                  <w:marRight w:val="0"/>
                  <w:marTop w:val="0"/>
                  <w:marBottom w:val="0"/>
                  <w:divBdr>
                    <w:top w:val="none" w:sz="0" w:space="0" w:color="auto"/>
                    <w:left w:val="none" w:sz="0" w:space="0" w:color="auto"/>
                    <w:bottom w:val="none" w:sz="0" w:space="0" w:color="auto"/>
                    <w:right w:val="none" w:sz="0" w:space="0" w:color="auto"/>
                  </w:divBdr>
                  <w:divsChild>
                    <w:div w:id="1053890154">
                      <w:marLeft w:val="0"/>
                      <w:marRight w:val="0"/>
                      <w:marTop w:val="0"/>
                      <w:marBottom w:val="0"/>
                      <w:divBdr>
                        <w:top w:val="none" w:sz="0" w:space="0" w:color="auto"/>
                        <w:left w:val="none" w:sz="0" w:space="0" w:color="auto"/>
                        <w:bottom w:val="none" w:sz="0" w:space="0" w:color="auto"/>
                        <w:right w:val="none" w:sz="0" w:space="0" w:color="auto"/>
                      </w:divBdr>
                    </w:div>
                  </w:divsChild>
                </w:div>
                <w:div w:id="1783259767">
                  <w:marLeft w:val="0"/>
                  <w:marRight w:val="0"/>
                  <w:marTop w:val="0"/>
                  <w:marBottom w:val="0"/>
                  <w:divBdr>
                    <w:top w:val="none" w:sz="0" w:space="0" w:color="auto"/>
                    <w:left w:val="none" w:sz="0" w:space="0" w:color="auto"/>
                    <w:bottom w:val="none" w:sz="0" w:space="0" w:color="auto"/>
                    <w:right w:val="none" w:sz="0" w:space="0" w:color="auto"/>
                  </w:divBdr>
                  <w:divsChild>
                    <w:div w:id="509418380">
                      <w:marLeft w:val="0"/>
                      <w:marRight w:val="0"/>
                      <w:marTop w:val="0"/>
                      <w:marBottom w:val="0"/>
                      <w:divBdr>
                        <w:top w:val="none" w:sz="0" w:space="0" w:color="auto"/>
                        <w:left w:val="none" w:sz="0" w:space="0" w:color="auto"/>
                        <w:bottom w:val="none" w:sz="0" w:space="0" w:color="auto"/>
                        <w:right w:val="none" w:sz="0" w:space="0" w:color="auto"/>
                      </w:divBdr>
                    </w:div>
                  </w:divsChild>
                </w:div>
                <w:div w:id="1811437649">
                  <w:marLeft w:val="0"/>
                  <w:marRight w:val="0"/>
                  <w:marTop w:val="0"/>
                  <w:marBottom w:val="0"/>
                  <w:divBdr>
                    <w:top w:val="none" w:sz="0" w:space="0" w:color="auto"/>
                    <w:left w:val="none" w:sz="0" w:space="0" w:color="auto"/>
                    <w:bottom w:val="none" w:sz="0" w:space="0" w:color="auto"/>
                    <w:right w:val="none" w:sz="0" w:space="0" w:color="auto"/>
                  </w:divBdr>
                  <w:divsChild>
                    <w:div w:id="345639109">
                      <w:marLeft w:val="0"/>
                      <w:marRight w:val="0"/>
                      <w:marTop w:val="0"/>
                      <w:marBottom w:val="0"/>
                      <w:divBdr>
                        <w:top w:val="none" w:sz="0" w:space="0" w:color="auto"/>
                        <w:left w:val="none" w:sz="0" w:space="0" w:color="auto"/>
                        <w:bottom w:val="none" w:sz="0" w:space="0" w:color="auto"/>
                        <w:right w:val="none" w:sz="0" w:space="0" w:color="auto"/>
                      </w:divBdr>
                    </w:div>
                  </w:divsChild>
                </w:div>
                <w:div w:id="1856533763">
                  <w:marLeft w:val="0"/>
                  <w:marRight w:val="0"/>
                  <w:marTop w:val="0"/>
                  <w:marBottom w:val="0"/>
                  <w:divBdr>
                    <w:top w:val="none" w:sz="0" w:space="0" w:color="auto"/>
                    <w:left w:val="none" w:sz="0" w:space="0" w:color="auto"/>
                    <w:bottom w:val="none" w:sz="0" w:space="0" w:color="auto"/>
                    <w:right w:val="none" w:sz="0" w:space="0" w:color="auto"/>
                  </w:divBdr>
                  <w:divsChild>
                    <w:div w:id="451900459">
                      <w:marLeft w:val="0"/>
                      <w:marRight w:val="0"/>
                      <w:marTop w:val="0"/>
                      <w:marBottom w:val="0"/>
                      <w:divBdr>
                        <w:top w:val="none" w:sz="0" w:space="0" w:color="auto"/>
                        <w:left w:val="none" w:sz="0" w:space="0" w:color="auto"/>
                        <w:bottom w:val="none" w:sz="0" w:space="0" w:color="auto"/>
                        <w:right w:val="none" w:sz="0" w:space="0" w:color="auto"/>
                      </w:divBdr>
                    </w:div>
                    <w:div w:id="1818455010">
                      <w:marLeft w:val="0"/>
                      <w:marRight w:val="0"/>
                      <w:marTop w:val="0"/>
                      <w:marBottom w:val="0"/>
                      <w:divBdr>
                        <w:top w:val="none" w:sz="0" w:space="0" w:color="auto"/>
                        <w:left w:val="none" w:sz="0" w:space="0" w:color="auto"/>
                        <w:bottom w:val="none" w:sz="0" w:space="0" w:color="auto"/>
                        <w:right w:val="none" w:sz="0" w:space="0" w:color="auto"/>
                      </w:divBdr>
                    </w:div>
                  </w:divsChild>
                </w:div>
                <w:div w:id="1874805977">
                  <w:marLeft w:val="0"/>
                  <w:marRight w:val="0"/>
                  <w:marTop w:val="0"/>
                  <w:marBottom w:val="0"/>
                  <w:divBdr>
                    <w:top w:val="none" w:sz="0" w:space="0" w:color="auto"/>
                    <w:left w:val="none" w:sz="0" w:space="0" w:color="auto"/>
                    <w:bottom w:val="none" w:sz="0" w:space="0" w:color="auto"/>
                    <w:right w:val="none" w:sz="0" w:space="0" w:color="auto"/>
                  </w:divBdr>
                  <w:divsChild>
                    <w:div w:id="1082483651">
                      <w:marLeft w:val="0"/>
                      <w:marRight w:val="0"/>
                      <w:marTop w:val="0"/>
                      <w:marBottom w:val="0"/>
                      <w:divBdr>
                        <w:top w:val="none" w:sz="0" w:space="0" w:color="auto"/>
                        <w:left w:val="none" w:sz="0" w:space="0" w:color="auto"/>
                        <w:bottom w:val="none" w:sz="0" w:space="0" w:color="auto"/>
                        <w:right w:val="none" w:sz="0" w:space="0" w:color="auto"/>
                      </w:divBdr>
                    </w:div>
                    <w:div w:id="1154684759">
                      <w:marLeft w:val="0"/>
                      <w:marRight w:val="0"/>
                      <w:marTop w:val="0"/>
                      <w:marBottom w:val="0"/>
                      <w:divBdr>
                        <w:top w:val="none" w:sz="0" w:space="0" w:color="auto"/>
                        <w:left w:val="none" w:sz="0" w:space="0" w:color="auto"/>
                        <w:bottom w:val="none" w:sz="0" w:space="0" w:color="auto"/>
                        <w:right w:val="none" w:sz="0" w:space="0" w:color="auto"/>
                      </w:divBdr>
                    </w:div>
                  </w:divsChild>
                </w:div>
                <w:div w:id="1908882054">
                  <w:marLeft w:val="0"/>
                  <w:marRight w:val="0"/>
                  <w:marTop w:val="0"/>
                  <w:marBottom w:val="0"/>
                  <w:divBdr>
                    <w:top w:val="none" w:sz="0" w:space="0" w:color="auto"/>
                    <w:left w:val="none" w:sz="0" w:space="0" w:color="auto"/>
                    <w:bottom w:val="none" w:sz="0" w:space="0" w:color="auto"/>
                    <w:right w:val="none" w:sz="0" w:space="0" w:color="auto"/>
                  </w:divBdr>
                  <w:divsChild>
                    <w:div w:id="1548491577">
                      <w:marLeft w:val="0"/>
                      <w:marRight w:val="0"/>
                      <w:marTop w:val="0"/>
                      <w:marBottom w:val="0"/>
                      <w:divBdr>
                        <w:top w:val="none" w:sz="0" w:space="0" w:color="auto"/>
                        <w:left w:val="none" w:sz="0" w:space="0" w:color="auto"/>
                        <w:bottom w:val="none" w:sz="0" w:space="0" w:color="auto"/>
                        <w:right w:val="none" w:sz="0" w:space="0" w:color="auto"/>
                      </w:divBdr>
                    </w:div>
                    <w:div w:id="1741520577">
                      <w:marLeft w:val="0"/>
                      <w:marRight w:val="0"/>
                      <w:marTop w:val="0"/>
                      <w:marBottom w:val="0"/>
                      <w:divBdr>
                        <w:top w:val="none" w:sz="0" w:space="0" w:color="auto"/>
                        <w:left w:val="none" w:sz="0" w:space="0" w:color="auto"/>
                        <w:bottom w:val="none" w:sz="0" w:space="0" w:color="auto"/>
                        <w:right w:val="none" w:sz="0" w:space="0" w:color="auto"/>
                      </w:divBdr>
                    </w:div>
                  </w:divsChild>
                </w:div>
                <w:div w:id="1932814146">
                  <w:marLeft w:val="0"/>
                  <w:marRight w:val="0"/>
                  <w:marTop w:val="0"/>
                  <w:marBottom w:val="0"/>
                  <w:divBdr>
                    <w:top w:val="none" w:sz="0" w:space="0" w:color="auto"/>
                    <w:left w:val="none" w:sz="0" w:space="0" w:color="auto"/>
                    <w:bottom w:val="none" w:sz="0" w:space="0" w:color="auto"/>
                    <w:right w:val="none" w:sz="0" w:space="0" w:color="auto"/>
                  </w:divBdr>
                  <w:divsChild>
                    <w:div w:id="392045820">
                      <w:marLeft w:val="0"/>
                      <w:marRight w:val="0"/>
                      <w:marTop w:val="0"/>
                      <w:marBottom w:val="0"/>
                      <w:divBdr>
                        <w:top w:val="none" w:sz="0" w:space="0" w:color="auto"/>
                        <w:left w:val="none" w:sz="0" w:space="0" w:color="auto"/>
                        <w:bottom w:val="none" w:sz="0" w:space="0" w:color="auto"/>
                        <w:right w:val="none" w:sz="0" w:space="0" w:color="auto"/>
                      </w:divBdr>
                    </w:div>
                  </w:divsChild>
                </w:div>
                <w:div w:id="1934588022">
                  <w:marLeft w:val="0"/>
                  <w:marRight w:val="0"/>
                  <w:marTop w:val="0"/>
                  <w:marBottom w:val="0"/>
                  <w:divBdr>
                    <w:top w:val="none" w:sz="0" w:space="0" w:color="auto"/>
                    <w:left w:val="none" w:sz="0" w:space="0" w:color="auto"/>
                    <w:bottom w:val="none" w:sz="0" w:space="0" w:color="auto"/>
                    <w:right w:val="none" w:sz="0" w:space="0" w:color="auto"/>
                  </w:divBdr>
                  <w:divsChild>
                    <w:div w:id="77095846">
                      <w:marLeft w:val="0"/>
                      <w:marRight w:val="0"/>
                      <w:marTop w:val="0"/>
                      <w:marBottom w:val="0"/>
                      <w:divBdr>
                        <w:top w:val="none" w:sz="0" w:space="0" w:color="auto"/>
                        <w:left w:val="none" w:sz="0" w:space="0" w:color="auto"/>
                        <w:bottom w:val="none" w:sz="0" w:space="0" w:color="auto"/>
                        <w:right w:val="none" w:sz="0" w:space="0" w:color="auto"/>
                      </w:divBdr>
                    </w:div>
                  </w:divsChild>
                </w:div>
                <w:div w:id="1947731318">
                  <w:marLeft w:val="0"/>
                  <w:marRight w:val="0"/>
                  <w:marTop w:val="0"/>
                  <w:marBottom w:val="0"/>
                  <w:divBdr>
                    <w:top w:val="none" w:sz="0" w:space="0" w:color="auto"/>
                    <w:left w:val="none" w:sz="0" w:space="0" w:color="auto"/>
                    <w:bottom w:val="none" w:sz="0" w:space="0" w:color="auto"/>
                    <w:right w:val="none" w:sz="0" w:space="0" w:color="auto"/>
                  </w:divBdr>
                  <w:divsChild>
                    <w:div w:id="279380888">
                      <w:marLeft w:val="0"/>
                      <w:marRight w:val="0"/>
                      <w:marTop w:val="0"/>
                      <w:marBottom w:val="0"/>
                      <w:divBdr>
                        <w:top w:val="none" w:sz="0" w:space="0" w:color="auto"/>
                        <w:left w:val="none" w:sz="0" w:space="0" w:color="auto"/>
                        <w:bottom w:val="none" w:sz="0" w:space="0" w:color="auto"/>
                        <w:right w:val="none" w:sz="0" w:space="0" w:color="auto"/>
                      </w:divBdr>
                    </w:div>
                    <w:div w:id="501356936">
                      <w:marLeft w:val="0"/>
                      <w:marRight w:val="0"/>
                      <w:marTop w:val="0"/>
                      <w:marBottom w:val="0"/>
                      <w:divBdr>
                        <w:top w:val="none" w:sz="0" w:space="0" w:color="auto"/>
                        <w:left w:val="none" w:sz="0" w:space="0" w:color="auto"/>
                        <w:bottom w:val="none" w:sz="0" w:space="0" w:color="auto"/>
                        <w:right w:val="none" w:sz="0" w:space="0" w:color="auto"/>
                      </w:divBdr>
                    </w:div>
                    <w:div w:id="570965255">
                      <w:marLeft w:val="0"/>
                      <w:marRight w:val="0"/>
                      <w:marTop w:val="0"/>
                      <w:marBottom w:val="0"/>
                      <w:divBdr>
                        <w:top w:val="none" w:sz="0" w:space="0" w:color="auto"/>
                        <w:left w:val="none" w:sz="0" w:space="0" w:color="auto"/>
                        <w:bottom w:val="none" w:sz="0" w:space="0" w:color="auto"/>
                        <w:right w:val="none" w:sz="0" w:space="0" w:color="auto"/>
                      </w:divBdr>
                    </w:div>
                    <w:div w:id="831289815">
                      <w:marLeft w:val="0"/>
                      <w:marRight w:val="0"/>
                      <w:marTop w:val="0"/>
                      <w:marBottom w:val="0"/>
                      <w:divBdr>
                        <w:top w:val="none" w:sz="0" w:space="0" w:color="auto"/>
                        <w:left w:val="none" w:sz="0" w:space="0" w:color="auto"/>
                        <w:bottom w:val="none" w:sz="0" w:space="0" w:color="auto"/>
                        <w:right w:val="none" w:sz="0" w:space="0" w:color="auto"/>
                      </w:divBdr>
                    </w:div>
                    <w:div w:id="1087849417">
                      <w:marLeft w:val="0"/>
                      <w:marRight w:val="0"/>
                      <w:marTop w:val="0"/>
                      <w:marBottom w:val="0"/>
                      <w:divBdr>
                        <w:top w:val="none" w:sz="0" w:space="0" w:color="auto"/>
                        <w:left w:val="none" w:sz="0" w:space="0" w:color="auto"/>
                        <w:bottom w:val="none" w:sz="0" w:space="0" w:color="auto"/>
                        <w:right w:val="none" w:sz="0" w:space="0" w:color="auto"/>
                      </w:divBdr>
                    </w:div>
                    <w:div w:id="1223060522">
                      <w:marLeft w:val="0"/>
                      <w:marRight w:val="0"/>
                      <w:marTop w:val="0"/>
                      <w:marBottom w:val="0"/>
                      <w:divBdr>
                        <w:top w:val="none" w:sz="0" w:space="0" w:color="auto"/>
                        <w:left w:val="none" w:sz="0" w:space="0" w:color="auto"/>
                        <w:bottom w:val="none" w:sz="0" w:space="0" w:color="auto"/>
                        <w:right w:val="none" w:sz="0" w:space="0" w:color="auto"/>
                      </w:divBdr>
                    </w:div>
                    <w:div w:id="1556314166">
                      <w:marLeft w:val="0"/>
                      <w:marRight w:val="0"/>
                      <w:marTop w:val="0"/>
                      <w:marBottom w:val="0"/>
                      <w:divBdr>
                        <w:top w:val="none" w:sz="0" w:space="0" w:color="auto"/>
                        <w:left w:val="none" w:sz="0" w:space="0" w:color="auto"/>
                        <w:bottom w:val="none" w:sz="0" w:space="0" w:color="auto"/>
                        <w:right w:val="none" w:sz="0" w:space="0" w:color="auto"/>
                      </w:divBdr>
                    </w:div>
                    <w:div w:id="1950745397">
                      <w:marLeft w:val="0"/>
                      <w:marRight w:val="0"/>
                      <w:marTop w:val="0"/>
                      <w:marBottom w:val="0"/>
                      <w:divBdr>
                        <w:top w:val="none" w:sz="0" w:space="0" w:color="auto"/>
                        <w:left w:val="none" w:sz="0" w:space="0" w:color="auto"/>
                        <w:bottom w:val="none" w:sz="0" w:space="0" w:color="auto"/>
                        <w:right w:val="none" w:sz="0" w:space="0" w:color="auto"/>
                      </w:divBdr>
                    </w:div>
                  </w:divsChild>
                </w:div>
                <w:div w:id="1954556246">
                  <w:marLeft w:val="0"/>
                  <w:marRight w:val="0"/>
                  <w:marTop w:val="0"/>
                  <w:marBottom w:val="0"/>
                  <w:divBdr>
                    <w:top w:val="none" w:sz="0" w:space="0" w:color="auto"/>
                    <w:left w:val="none" w:sz="0" w:space="0" w:color="auto"/>
                    <w:bottom w:val="none" w:sz="0" w:space="0" w:color="auto"/>
                    <w:right w:val="none" w:sz="0" w:space="0" w:color="auto"/>
                  </w:divBdr>
                  <w:divsChild>
                    <w:div w:id="1634553044">
                      <w:marLeft w:val="0"/>
                      <w:marRight w:val="0"/>
                      <w:marTop w:val="0"/>
                      <w:marBottom w:val="0"/>
                      <w:divBdr>
                        <w:top w:val="none" w:sz="0" w:space="0" w:color="auto"/>
                        <w:left w:val="none" w:sz="0" w:space="0" w:color="auto"/>
                        <w:bottom w:val="none" w:sz="0" w:space="0" w:color="auto"/>
                        <w:right w:val="none" w:sz="0" w:space="0" w:color="auto"/>
                      </w:divBdr>
                    </w:div>
                  </w:divsChild>
                </w:div>
                <w:div w:id="1997295960">
                  <w:marLeft w:val="0"/>
                  <w:marRight w:val="0"/>
                  <w:marTop w:val="0"/>
                  <w:marBottom w:val="0"/>
                  <w:divBdr>
                    <w:top w:val="none" w:sz="0" w:space="0" w:color="auto"/>
                    <w:left w:val="none" w:sz="0" w:space="0" w:color="auto"/>
                    <w:bottom w:val="none" w:sz="0" w:space="0" w:color="auto"/>
                    <w:right w:val="none" w:sz="0" w:space="0" w:color="auto"/>
                  </w:divBdr>
                  <w:divsChild>
                    <w:div w:id="345835257">
                      <w:marLeft w:val="0"/>
                      <w:marRight w:val="0"/>
                      <w:marTop w:val="0"/>
                      <w:marBottom w:val="0"/>
                      <w:divBdr>
                        <w:top w:val="none" w:sz="0" w:space="0" w:color="auto"/>
                        <w:left w:val="none" w:sz="0" w:space="0" w:color="auto"/>
                        <w:bottom w:val="none" w:sz="0" w:space="0" w:color="auto"/>
                        <w:right w:val="none" w:sz="0" w:space="0" w:color="auto"/>
                      </w:divBdr>
                    </w:div>
                  </w:divsChild>
                </w:div>
                <w:div w:id="2005621243">
                  <w:marLeft w:val="0"/>
                  <w:marRight w:val="0"/>
                  <w:marTop w:val="0"/>
                  <w:marBottom w:val="0"/>
                  <w:divBdr>
                    <w:top w:val="none" w:sz="0" w:space="0" w:color="auto"/>
                    <w:left w:val="none" w:sz="0" w:space="0" w:color="auto"/>
                    <w:bottom w:val="none" w:sz="0" w:space="0" w:color="auto"/>
                    <w:right w:val="none" w:sz="0" w:space="0" w:color="auto"/>
                  </w:divBdr>
                  <w:divsChild>
                    <w:div w:id="52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424">
          <w:marLeft w:val="0"/>
          <w:marRight w:val="0"/>
          <w:marTop w:val="0"/>
          <w:marBottom w:val="0"/>
          <w:divBdr>
            <w:top w:val="none" w:sz="0" w:space="0" w:color="auto"/>
            <w:left w:val="none" w:sz="0" w:space="0" w:color="auto"/>
            <w:bottom w:val="none" w:sz="0" w:space="0" w:color="auto"/>
            <w:right w:val="none" w:sz="0" w:space="0" w:color="auto"/>
          </w:divBdr>
        </w:div>
        <w:div w:id="1937395215">
          <w:marLeft w:val="0"/>
          <w:marRight w:val="0"/>
          <w:marTop w:val="0"/>
          <w:marBottom w:val="0"/>
          <w:divBdr>
            <w:top w:val="none" w:sz="0" w:space="0" w:color="auto"/>
            <w:left w:val="none" w:sz="0" w:space="0" w:color="auto"/>
            <w:bottom w:val="none" w:sz="0" w:space="0" w:color="auto"/>
            <w:right w:val="none" w:sz="0" w:space="0" w:color="auto"/>
          </w:divBdr>
        </w:div>
        <w:div w:id="2096783463">
          <w:marLeft w:val="0"/>
          <w:marRight w:val="0"/>
          <w:marTop w:val="0"/>
          <w:marBottom w:val="0"/>
          <w:divBdr>
            <w:top w:val="none" w:sz="0" w:space="0" w:color="auto"/>
            <w:left w:val="none" w:sz="0" w:space="0" w:color="auto"/>
            <w:bottom w:val="none" w:sz="0" w:space="0" w:color="auto"/>
            <w:right w:val="none" w:sz="0" w:space="0" w:color="auto"/>
          </w:divBdr>
        </w:div>
      </w:divsChild>
    </w:div>
    <w:div w:id="1034190617">
      <w:bodyDiv w:val="1"/>
      <w:marLeft w:val="0"/>
      <w:marRight w:val="0"/>
      <w:marTop w:val="0"/>
      <w:marBottom w:val="0"/>
      <w:divBdr>
        <w:top w:val="none" w:sz="0" w:space="0" w:color="auto"/>
        <w:left w:val="none" w:sz="0" w:space="0" w:color="auto"/>
        <w:bottom w:val="none" w:sz="0" w:space="0" w:color="auto"/>
        <w:right w:val="none" w:sz="0" w:space="0" w:color="auto"/>
      </w:divBdr>
    </w:div>
    <w:div w:id="1050611977">
      <w:bodyDiv w:val="1"/>
      <w:marLeft w:val="0"/>
      <w:marRight w:val="0"/>
      <w:marTop w:val="0"/>
      <w:marBottom w:val="0"/>
      <w:divBdr>
        <w:top w:val="none" w:sz="0" w:space="0" w:color="auto"/>
        <w:left w:val="none" w:sz="0" w:space="0" w:color="auto"/>
        <w:bottom w:val="none" w:sz="0" w:space="0" w:color="auto"/>
        <w:right w:val="none" w:sz="0" w:space="0" w:color="auto"/>
      </w:divBdr>
    </w:div>
    <w:div w:id="1530145974">
      <w:bodyDiv w:val="1"/>
      <w:marLeft w:val="0"/>
      <w:marRight w:val="0"/>
      <w:marTop w:val="0"/>
      <w:marBottom w:val="0"/>
      <w:divBdr>
        <w:top w:val="none" w:sz="0" w:space="0" w:color="auto"/>
        <w:left w:val="none" w:sz="0" w:space="0" w:color="auto"/>
        <w:bottom w:val="none" w:sz="0" w:space="0" w:color="auto"/>
        <w:right w:val="none" w:sz="0" w:space="0" w:color="auto"/>
      </w:divBdr>
      <w:divsChild>
        <w:div w:id="589578995">
          <w:marLeft w:val="0"/>
          <w:marRight w:val="0"/>
          <w:marTop w:val="0"/>
          <w:marBottom w:val="0"/>
          <w:divBdr>
            <w:top w:val="none" w:sz="0" w:space="0" w:color="auto"/>
            <w:left w:val="none" w:sz="0" w:space="0" w:color="auto"/>
            <w:bottom w:val="none" w:sz="0" w:space="0" w:color="auto"/>
            <w:right w:val="none" w:sz="0" w:space="0" w:color="auto"/>
          </w:divBdr>
        </w:div>
        <w:div w:id="848562664">
          <w:marLeft w:val="0"/>
          <w:marRight w:val="0"/>
          <w:marTop w:val="0"/>
          <w:marBottom w:val="0"/>
          <w:divBdr>
            <w:top w:val="none" w:sz="0" w:space="0" w:color="auto"/>
            <w:left w:val="none" w:sz="0" w:space="0" w:color="auto"/>
            <w:bottom w:val="none" w:sz="0" w:space="0" w:color="auto"/>
            <w:right w:val="none" w:sz="0" w:space="0" w:color="auto"/>
          </w:divBdr>
        </w:div>
        <w:div w:id="957027101">
          <w:marLeft w:val="0"/>
          <w:marRight w:val="0"/>
          <w:marTop w:val="0"/>
          <w:marBottom w:val="0"/>
          <w:divBdr>
            <w:top w:val="none" w:sz="0" w:space="0" w:color="auto"/>
            <w:left w:val="none" w:sz="0" w:space="0" w:color="auto"/>
            <w:bottom w:val="none" w:sz="0" w:space="0" w:color="auto"/>
            <w:right w:val="none" w:sz="0" w:space="0" w:color="auto"/>
          </w:divBdr>
        </w:div>
        <w:div w:id="1420062456">
          <w:marLeft w:val="0"/>
          <w:marRight w:val="0"/>
          <w:marTop w:val="0"/>
          <w:marBottom w:val="0"/>
          <w:divBdr>
            <w:top w:val="none" w:sz="0" w:space="0" w:color="auto"/>
            <w:left w:val="none" w:sz="0" w:space="0" w:color="auto"/>
            <w:bottom w:val="none" w:sz="0" w:space="0" w:color="auto"/>
            <w:right w:val="none" w:sz="0" w:space="0" w:color="auto"/>
          </w:divBdr>
          <w:divsChild>
            <w:div w:id="880675523">
              <w:marLeft w:val="-75"/>
              <w:marRight w:val="0"/>
              <w:marTop w:val="30"/>
              <w:marBottom w:val="30"/>
              <w:divBdr>
                <w:top w:val="none" w:sz="0" w:space="0" w:color="auto"/>
                <w:left w:val="none" w:sz="0" w:space="0" w:color="auto"/>
                <w:bottom w:val="none" w:sz="0" w:space="0" w:color="auto"/>
                <w:right w:val="none" w:sz="0" w:space="0" w:color="auto"/>
              </w:divBdr>
              <w:divsChild>
                <w:div w:id="30964098">
                  <w:marLeft w:val="0"/>
                  <w:marRight w:val="0"/>
                  <w:marTop w:val="0"/>
                  <w:marBottom w:val="0"/>
                  <w:divBdr>
                    <w:top w:val="none" w:sz="0" w:space="0" w:color="auto"/>
                    <w:left w:val="none" w:sz="0" w:space="0" w:color="auto"/>
                    <w:bottom w:val="none" w:sz="0" w:space="0" w:color="auto"/>
                    <w:right w:val="none" w:sz="0" w:space="0" w:color="auto"/>
                  </w:divBdr>
                  <w:divsChild>
                    <w:div w:id="1581598722">
                      <w:marLeft w:val="0"/>
                      <w:marRight w:val="0"/>
                      <w:marTop w:val="0"/>
                      <w:marBottom w:val="0"/>
                      <w:divBdr>
                        <w:top w:val="none" w:sz="0" w:space="0" w:color="auto"/>
                        <w:left w:val="none" w:sz="0" w:space="0" w:color="auto"/>
                        <w:bottom w:val="none" w:sz="0" w:space="0" w:color="auto"/>
                        <w:right w:val="none" w:sz="0" w:space="0" w:color="auto"/>
                      </w:divBdr>
                    </w:div>
                  </w:divsChild>
                </w:div>
                <w:div w:id="162283736">
                  <w:marLeft w:val="0"/>
                  <w:marRight w:val="0"/>
                  <w:marTop w:val="0"/>
                  <w:marBottom w:val="0"/>
                  <w:divBdr>
                    <w:top w:val="none" w:sz="0" w:space="0" w:color="auto"/>
                    <w:left w:val="none" w:sz="0" w:space="0" w:color="auto"/>
                    <w:bottom w:val="none" w:sz="0" w:space="0" w:color="auto"/>
                    <w:right w:val="none" w:sz="0" w:space="0" w:color="auto"/>
                  </w:divBdr>
                  <w:divsChild>
                    <w:div w:id="1638611709">
                      <w:marLeft w:val="0"/>
                      <w:marRight w:val="0"/>
                      <w:marTop w:val="0"/>
                      <w:marBottom w:val="0"/>
                      <w:divBdr>
                        <w:top w:val="none" w:sz="0" w:space="0" w:color="auto"/>
                        <w:left w:val="none" w:sz="0" w:space="0" w:color="auto"/>
                        <w:bottom w:val="none" w:sz="0" w:space="0" w:color="auto"/>
                        <w:right w:val="none" w:sz="0" w:space="0" w:color="auto"/>
                      </w:divBdr>
                    </w:div>
                  </w:divsChild>
                </w:div>
                <w:div w:id="201481836">
                  <w:marLeft w:val="0"/>
                  <w:marRight w:val="0"/>
                  <w:marTop w:val="0"/>
                  <w:marBottom w:val="0"/>
                  <w:divBdr>
                    <w:top w:val="none" w:sz="0" w:space="0" w:color="auto"/>
                    <w:left w:val="none" w:sz="0" w:space="0" w:color="auto"/>
                    <w:bottom w:val="none" w:sz="0" w:space="0" w:color="auto"/>
                    <w:right w:val="none" w:sz="0" w:space="0" w:color="auto"/>
                  </w:divBdr>
                  <w:divsChild>
                    <w:div w:id="1225607443">
                      <w:marLeft w:val="0"/>
                      <w:marRight w:val="0"/>
                      <w:marTop w:val="0"/>
                      <w:marBottom w:val="0"/>
                      <w:divBdr>
                        <w:top w:val="none" w:sz="0" w:space="0" w:color="auto"/>
                        <w:left w:val="none" w:sz="0" w:space="0" w:color="auto"/>
                        <w:bottom w:val="none" w:sz="0" w:space="0" w:color="auto"/>
                        <w:right w:val="none" w:sz="0" w:space="0" w:color="auto"/>
                      </w:divBdr>
                    </w:div>
                  </w:divsChild>
                </w:div>
                <w:div w:id="236326802">
                  <w:marLeft w:val="0"/>
                  <w:marRight w:val="0"/>
                  <w:marTop w:val="0"/>
                  <w:marBottom w:val="0"/>
                  <w:divBdr>
                    <w:top w:val="none" w:sz="0" w:space="0" w:color="auto"/>
                    <w:left w:val="none" w:sz="0" w:space="0" w:color="auto"/>
                    <w:bottom w:val="none" w:sz="0" w:space="0" w:color="auto"/>
                    <w:right w:val="none" w:sz="0" w:space="0" w:color="auto"/>
                  </w:divBdr>
                  <w:divsChild>
                    <w:div w:id="280259435">
                      <w:marLeft w:val="0"/>
                      <w:marRight w:val="0"/>
                      <w:marTop w:val="0"/>
                      <w:marBottom w:val="0"/>
                      <w:divBdr>
                        <w:top w:val="none" w:sz="0" w:space="0" w:color="auto"/>
                        <w:left w:val="none" w:sz="0" w:space="0" w:color="auto"/>
                        <w:bottom w:val="none" w:sz="0" w:space="0" w:color="auto"/>
                        <w:right w:val="none" w:sz="0" w:space="0" w:color="auto"/>
                      </w:divBdr>
                    </w:div>
                    <w:div w:id="1141001118">
                      <w:marLeft w:val="0"/>
                      <w:marRight w:val="0"/>
                      <w:marTop w:val="0"/>
                      <w:marBottom w:val="0"/>
                      <w:divBdr>
                        <w:top w:val="none" w:sz="0" w:space="0" w:color="auto"/>
                        <w:left w:val="none" w:sz="0" w:space="0" w:color="auto"/>
                        <w:bottom w:val="none" w:sz="0" w:space="0" w:color="auto"/>
                        <w:right w:val="none" w:sz="0" w:space="0" w:color="auto"/>
                      </w:divBdr>
                    </w:div>
                  </w:divsChild>
                </w:div>
                <w:div w:id="237786856">
                  <w:marLeft w:val="0"/>
                  <w:marRight w:val="0"/>
                  <w:marTop w:val="0"/>
                  <w:marBottom w:val="0"/>
                  <w:divBdr>
                    <w:top w:val="none" w:sz="0" w:space="0" w:color="auto"/>
                    <w:left w:val="none" w:sz="0" w:space="0" w:color="auto"/>
                    <w:bottom w:val="none" w:sz="0" w:space="0" w:color="auto"/>
                    <w:right w:val="none" w:sz="0" w:space="0" w:color="auto"/>
                  </w:divBdr>
                  <w:divsChild>
                    <w:div w:id="423261081">
                      <w:marLeft w:val="0"/>
                      <w:marRight w:val="0"/>
                      <w:marTop w:val="0"/>
                      <w:marBottom w:val="0"/>
                      <w:divBdr>
                        <w:top w:val="none" w:sz="0" w:space="0" w:color="auto"/>
                        <w:left w:val="none" w:sz="0" w:space="0" w:color="auto"/>
                        <w:bottom w:val="none" w:sz="0" w:space="0" w:color="auto"/>
                        <w:right w:val="none" w:sz="0" w:space="0" w:color="auto"/>
                      </w:divBdr>
                    </w:div>
                    <w:div w:id="1772431707">
                      <w:marLeft w:val="0"/>
                      <w:marRight w:val="0"/>
                      <w:marTop w:val="0"/>
                      <w:marBottom w:val="0"/>
                      <w:divBdr>
                        <w:top w:val="none" w:sz="0" w:space="0" w:color="auto"/>
                        <w:left w:val="none" w:sz="0" w:space="0" w:color="auto"/>
                        <w:bottom w:val="none" w:sz="0" w:space="0" w:color="auto"/>
                        <w:right w:val="none" w:sz="0" w:space="0" w:color="auto"/>
                      </w:divBdr>
                    </w:div>
                  </w:divsChild>
                </w:div>
                <w:div w:id="248389942">
                  <w:marLeft w:val="0"/>
                  <w:marRight w:val="0"/>
                  <w:marTop w:val="0"/>
                  <w:marBottom w:val="0"/>
                  <w:divBdr>
                    <w:top w:val="none" w:sz="0" w:space="0" w:color="auto"/>
                    <w:left w:val="none" w:sz="0" w:space="0" w:color="auto"/>
                    <w:bottom w:val="none" w:sz="0" w:space="0" w:color="auto"/>
                    <w:right w:val="none" w:sz="0" w:space="0" w:color="auto"/>
                  </w:divBdr>
                  <w:divsChild>
                    <w:div w:id="780806294">
                      <w:marLeft w:val="0"/>
                      <w:marRight w:val="0"/>
                      <w:marTop w:val="0"/>
                      <w:marBottom w:val="0"/>
                      <w:divBdr>
                        <w:top w:val="none" w:sz="0" w:space="0" w:color="auto"/>
                        <w:left w:val="none" w:sz="0" w:space="0" w:color="auto"/>
                        <w:bottom w:val="none" w:sz="0" w:space="0" w:color="auto"/>
                        <w:right w:val="none" w:sz="0" w:space="0" w:color="auto"/>
                      </w:divBdr>
                    </w:div>
                  </w:divsChild>
                </w:div>
                <w:div w:id="460080772">
                  <w:marLeft w:val="0"/>
                  <w:marRight w:val="0"/>
                  <w:marTop w:val="0"/>
                  <w:marBottom w:val="0"/>
                  <w:divBdr>
                    <w:top w:val="none" w:sz="0" w:space="0" w:color="auto"/>
                    <w:left w:val="none" w:sz="0" w:space="0" w:color="auto"/>
                    <w:bottom w:val="none" w:sz="0" w:space="0" w:color="auto"/>
                    <w:right w:val="none" w:sz="0" w:space="0" w:color="auto"/>
                  </w:divBdr>
                  <w:divsChild>
                    <w:div w:id="1610164017">
                      <w:marLeft w:val="0"/>
                      <w:marRight w:val="0"/>
                      <w:marTop w:val="0"/>
                      <w:marBottom w:val="0"/>
                      <w:divBdr>
                        <w:top w:val="none" w:sz="0" w:space="0" w:color="auto"/>
                        <w:left w:val="none" w:sz="0" w:space="0" w:color="auto"/>
                        <w:bottom w:val="none" w:sz="0" w:space="0" w:color="auto"/>
                        <w:right w:val="none" w:sz="0" w:space="0" w:color="auto"/>
                      </w:divBdr>
                    </w:div>
                  </w:divsChild>
                </w:div>
                <w:div w:id="477646531">
                  <w:marLeft w:val="0"/>
                  <w:marRight w:val="0"/>
                  <w:marTop w:val="0"/>
                  <w:marBottom w:val="0"/>
                  <w:divBdr>
                    <w:top w:val="none" w:sz="0" w:space="0" w:color="auto"/>
                    <w:left w:val="none" w:sz="0" w:space="0" w:color="auto"/>
                    <w:bottom w:val="none" w:sz="0" w:space="0" w:color="auto"/>
                    <w:right w:val="none" w:sz="0" w:space="0" w:color="auto"/>
                  </w:divBdr>
                  <w:divsChild>
                    <w:div w:id="974800781">
                      <w:marLeft w:val="0"/>
                      <w:marRight w:val="0"/>
                      <w:marTop w:val="0"/>
                      <w:marBottom w:val="0"/>
                      <w:divBdr>
                        <w:top w:val="none" w:sz="0" w:space="0" w:color="auto"/>
                        <w:left w:val="none" w:sz="0" w:space="0" w:color="auto"/>
                        <w:bottom w:val="none" w:sz="0" w:space="0" w:color="auto"/>
                        <w:right w:val="none" w:sz="0" w:space="0" w:color="auto"/>
                      </w:divBdr>
                    </w:div>
                  </w:divsChild>
                </w:div>
                <w:div w:id="499662174">
                  <w:marLeft w:val="0"/>
                  <w:marRight w:val="0"/>
                  <w:marTop w:val="0"/>
                  <w:marBottom w:val="0"/>
                  <w:divBdr>
                    <w:top w:val="none" w:sz="0" w:space="0" w:color="auto"/>
                    <w:left w:val="none" w:sz="0" w:space="0" w:color="auto"/>
                    <w:bottom w:val="none" w:sz="0" w:space="0" w:color="auto"/>
                    <w:right w:val="none" w:sz="0" w:space="0" w:color="auto"/>
                  </w:divBdr>
                  <w:divsChild>
                    <w:div w:id="1389888076">
                      <w:marLeft w:val="0"/>
                      <w:marRight w:val="0"/>
                      <w:marTop w:val="0"/>
                      <w:marBottom w:val="0"/>
                      <w:divBdr>
                        <w:top w:val="none" w:sz="0" w:space="0" w:color="auto"/>
                        <w:left w:val="none" w:sz="0" w:space="0" w:color="auto"/>
                        <w:bottom w:val="none" w:sz="0" w:space="0" w:color="auto"/>
                        <w:right w:val="none" w:sz="0" w:space="0" w:color="auto"/>
                      </w:divBdr>
                    </w:div>
                  </w:divsChild>
                </w:div>
                <w:div w:id="532036213">
                  <w:marLeft w:val="0"/>
                  <w:marRight w:val="0"/>
                  <w:marTop w:val="0"/>
                  <w:marBottom w:val="0"/>
                  <w:divBdr>
                    <w:top w:val="none" w:sz="0" w:space="0" w:color="auto"/>
                    <w:left w:val="none" w:sz="0" w:space="0" w:color="auto"/>
                    <w:bottom w:val="none" w:sz="0" w:space="0" w:color="auto"/>
                    <w:right w:val="none" w:sz="0" w:space="0" w:color="auto"/>
                  </w:divBdr>
                  <w:divsChild>
                    <w:div w:id="2029410578">
                      <w:marLeft w:val="0"/>
                      <w:marRight w:val="0"/>
                      <w:marTop w:val="0"/>
                      <w:marBottom w:val="0"/>
                      <w:divBdr>
                        <w:top w:val="none" w:sz="0" w:space="0" w:color="auto"/>
                        <w:left w:val="none" w:sz="0" w:space="0" w:color="auto"/>
                        <w:bottom w:val="none" w:sz="0" w:space="0" w:color="auto"/>
                        <w:right w:val="none" w:sz="0" w:space="0" w:color="auto"/>
                      </w:divBdr>
                    </w:div>
                  </w:divsChild>
                </w:div>
                <w:div w:id="539244174">
                  <w:marLeft w:val="0"/>
                  <w:marRight w:val="0"/>
                  <w:marTop w:val="0"/>
                  <w:marBottom w:val="0"/>
                  <w:divBdr>
                    <w:top w:val="none" w:sz="0" w:space="0" w:color="auto"/>
                    <w:left w:val="none" w:sz="0" w:space="0" w:color="auto"/>
                    <w:bottom w:val="none" w:sz="0" w:space="0" w:color="auto"/>
                    <w:right w:val="none" w:sz="0" w:space="0" w:color="auto"/>
                  </w:divBdr>
                  <w:divsChild>
                    <w:div w:id="1208371032">
                      <w:marLeft w:val="0"/>
                      <w:marRight w:val="0"/>
                      <w:marTop w:val="0"/>
                      <w:marBottom w:val="0"/>
                      <w:divBdr>
                        <w:top w:val="none" w:sz="0" w:space="0" w:color="auto"/>
                        <w:left w:val="none" w:sz="0" w:space="0" w:color="auto"/>
                        <w:bottom w:val="none" w:sz="0" w:space="0" w:color="auto"/>
                        <w:right w:val="none" w:sz="0" w:space="0" w:color="auto"/>
                      </w:divBdr>
                    </w:div>
                    <w:div w:id="1996181318">
                      <w:marLeft w:val="0"/>
                      <w:marRight w:val="0"/>
                      <w:marTop w:val="0"/>
                      <w:marBottom w:val="0"/>
                      <w:divBdr>
                        <w:top w:val="none" w:sz="0" w:space="0" w:color="auto"/>
                        <w:left w:val="none" w:sz="0" w:space="0" w:color="auto"/>
                        <w:bottom w:val="none" w:sz="0" w:space="0" w:color="auto"/>
                        <w:right w:val="none" w:sz="0" w:space="0" w:color="auto"/>
                      </w:divBdr>
                    </w:div>
                  </w:divsChild>
                </w:div>
                <w:div w:id="608463974">
                  <w:marLeft w:val="0"/>
                  <w:marRight w:val="0"/>
                  <w:marTop w:val="0"/>
                  <w:marBottom w:val="0"/>
                  <w:divBdr>
                    <w:top w:val="none" w:sz="0" w:space="0" w:color="auto"/>
                    <w:left w:val="none" w:sz="0" w:space="0" w:color="auto"/>
                    <w:bottom w:val="none" w:sz="0" w:space="0" w:color="auto"/>
                    <w:right w:val="none" w:sz="0" w:space="0" w:color="auto"/>
                  </w:divBdr>
                  <w:divsChild>
                    <w:div w:id="1411733424">
                      <w:marLeft w:val="0"/>
                      <w:marRight w:val="0"/>
                      <w:marTop w:val="0"/>
                      <w:marBottom w:val="0"/>
                      <w:divBdr>
                        <w:top w:val="none" w:sz="0" w:space="0" w:color="auto"/>
                        <w:left w:val="none" w:sz="0" w:space="0" w:color="auto"/>
                        <w:bottom w:val="none" w:sz="0" w:space="0" w:color="auto"/>
                        <w:right w:val="none" w:sz="0" w:space="0" w:color="auto"/>
                      </w:divBdr>
                    </w:div>
                  </w:divsChild>
                </w:div>
                <w:div w:id="628707070">
                  <w:marLeft w:val="0"/>
                  <w:marRight w:val="0"/>
                  <w:marTop w:val="0"/>
                  <w:marBottom w:val="0"/>
                  <w:divBdr>
                    <w:top w:val="none" w:sz="0" w:space="0" w:color="auto"/>
                    <w:left w:val="none" w:sz="0" w:space="0" w:color="auto"/>
                    <w:bottom w:val="none" w:sz="0" w:space="0" w:color="auto"/>
                    <w:right w:val="none" w:sz="0" w:space="0" w:color="auto"/>
                  </w:divBdr>
                  <w:divsChild>
                    <w:div w:id="60057291">
                      <w:marLeft w:val="0"/>
                      <w:marRight w:val="0"/>
                      <w:marTop w:val="0"/>
                      <w:marBottom w:val="0"/>
                      <w:divBdr>
                        <w:top w:val="none" w:sz="0" w:space="0" w:color="auto"/>
                        <w:left w:val="none" w:sz="0" w:space="0" w:color="auto"/>
                        <w:bottom w:val="none" w:sz="0" w:space="0" w:color="auto"/>
                        <w:right w:val="none" w:sz="0" w:space="0" w:color="auto"/>
                      </w:divBdr>
                    </w:div>
                  </w:divsChild>
                </w:div>
                <w:div w:id="641891458">
                  <w:marLeft w:val="0"/>
                  <w:marRight w:val="0"/>
                  <w:marTop w:val="0"/>
                  <w:marBottom w:val="0"/>
                  <w:divBdr>
                    <w:top w:val="none" w:sz="0" w:space="0" w:color="auto"/>
                    <w:left w:val="none" w:sz="0" w:space="0" w:color="auto"/>
                    <w:bottom w:val="none" w:sz="0" w:space="0" w:color="auto"/>
                    <w:right w:val="none" w:sz="0" w:space="0" w:color="auto"/>
                  </w:divBdr>
                  <w:divsChild>
                    <w:div w:id="1006979602">
                      <w:marLeft w:val="0"/>
                      <w:marRight w:val="0"/>
                      <w:marTop w:val="0"/>
                      <w:marBottom w:val="0"/>
                      <w:divBdr>
                        <w:top w:val="none" w:sz="0" w:space="0" w:color="auto"/>
                        <w:left w:val="none" w:sz="0" w:space="0" w:color="auto"/>
                        <w:bottom w:val="none" w:sz="0" w:space="0" w:color="auto"/>
                        <w:right w:val="none" w:sz="0" w:space="0" w:color="auto"/>
                      </w:divBdr>
                    </w:div>
                  </w:divsChild>
                </w:div>
                <w:div w:id="698966085">
                  <w:marLeft w:val="0"/>
                  <w:marRight w:val="0"/>
                  <w:marTop w:val="0"/>
                  <w:marBottom w:val="0"/>
                  <w:divBdr>
                    <w:top w:val="none" w:sz="0" w:space="0" w:color="auto"/>
                    <w:left w:val="none" w:sz="0" w:space="0" w:color="auto"/>
                    <w:bottom w:val="none" w:sz="0" w:space="0" w:color="auto"/>
                    <w:right w:val="none" w:sz="0" w:space="0" w:color="auto"/>
                  </w:divBdr>
                  <w:divsChild>
                    <w:div w:id="2068721945">
                      <w:marLeft w:val="0"/>
                      <w:marRight w:val="0"/>
                      <w:marTop w:val="0"/>
                      <w:marBottom w:val="0"/>
                      <w:divBdr>
                        <w:top w:val="none" w:sz="0" w:space="0" w:color="auto"/>
                        <w:left w:val="none" w:sz="0" w:space="0" w:color="auto"/>
                        <w:bottom w:val="none" w:sz="0" w:space="0" w:color="auto"/>
                        <w:right w:val="none" w:sz="0" w:space="0" w:color="auto"/>
                      </w:divBdr>
                    </w:div>
                  </w:divsChild>
                </w:div>
                <w:div w:id="700127947">
                  <w:marLeft w:val="0"/>
                  <w:marRight w:val="0"/>
                  <w:marTop w:val="0"/>
                  <w:marBottom w:val="0"/>
                  <w:divBdr>
                    <w:top w:val="none" w:sz="0" w:space="0" w:color="auto"/>
                    <w:left w:val="none" w:sz="0" w:space="0" w:color="auto"/>
                    <w:bottom w:val="none" w:sz="0" w:space="0" w:color="auto"/>
                    <w:right w:val="none" w:sz="0" w:space="0" w:color="auto"/>
                  </w:divBdr>
                  <w:divsChild>
                    <w:div w:id="214662504">
                      <w:marLeft w:val="0"/>
                      <w:marRight w:val="0"/>
                      <w:marTop w:val="0"/>
                      <w:marBottom w:val="0"/>
                      <w:divBdr>
                        <w:top w:val="none" w:sz="0" w:space="0" w:color="auto"/>
                        <w:left w:val="none" w:sz="0" w:space="0" w:color="auto"/>
                        <w:bottom w:val="none" w:sz="0" w:space="0" w:color="auto"/>
                        <w:right w:val="none" w:sz="0" w:space="0" w:color="auto"/>
                      </w:divBdr>
                    </w:div>
                  </w:divsChild>
                </w:div>
                <w:div w:id="767312176">
                  <w:marLeft w:val="0"/>
                  <w:marRight w:val="0"/>
                  <w:marTop w:val="0"/>
                  <w:marBottom w:val="0"/>
                  <w:divBdr>
                    <w:top w:val="none" w:sz="0" w:space="0" w:color="auto"/>
                    <w:left w:val="none" w:sz="0" w:space="0" w:color="auto"/>
                    <w:bottom w:val="none" w:sz="0" w:space="0" w:color="auto"/>
                    <w:right w:val="none" w:sz="0" w:space="0" w:color="auto"/>
                  </w:divBdr>
                  <w:divsChild>
                    <w:div w:id="294723110">
                      <w:marLeft w:val="0"/>
                      <w:marRight w:val="0"/>
                      <w:marTop w:val="0"/>
                      <w:marBottom w:val="0"/>
                      <w:divBdr>
                        <w:top w:val="none" w:sz="0" w:space="0" w:color="auto"/>
                        <w:left w:val="none" w:sz="0" w:space="0" w:color="auto"/>
                        <w:bottom w:val="none" w:sz="0" w:space="0" w:color="auto"/>
                        <w:right w:val="none" w:sz="0" w:space="0" w:color="auto"/>
                      </w:divBdr>
                    </w:div>
                  </w:divsChild>
                </w:div>
                <w:div w:id="826940269">
                  <w:marLeft w:val="0"/>
                  <w:marRight w:val="0"/>
                  <w:marTop w:val="0"/>
                  <w:marBottom w:val="0"/>
                  <w:divBdr>
                    <w:top w:val="none" w:sz="0" w:space="0" w:color="auto"/>
                    <w:left w:val="none" w:sz="0" w:space="0" w:color="auto"/>
                    <w:bottom w:val="none" w:sz="0" w:space="0" w:color="auto"/>
                    <w:right w:val="none" w:sz="0" w:space="0" w:color="auto"/>
                  </w:divBdr>
                  <w:divsChild>
                    <w:div w:id="686058795">
                      <w:marLeft w:val="0"/>
                      <w:marRight w:val="0"/>
                      <w:marTop w:val="0"/>
                      <w:marBottom w:val="0"/>
                      <w:divBdr>
                        <w:top w:val="none" w:sz="0" w:space="0" w:color="auto"/>
                        <w:left w:val="none" w:sz="0" w:space="0" w:color="auto"/>
                        <w:bottom w:val="none" w:sz="0" w:space="0" w:color="auto"/>
                        <w:right w:val="none" w:sz="0" w:space="0" w:color="auto"/>
                      </w:divBdr>
                    </w:div>
                  </w:divsChild>
                </w:div>
                <w:div w:id="872157238">
                  <w:marLeft w:val="0"/>
                  <w:marRight w:val="0"/>
                  <w:marTop w:val="0"/>
                  <w:marBottom w:val="0"/>
                  <w:divBdr>
                    <w:top w:val="none" w:sz="0" w:space="0" w:color="auto"/>
                    <w:left w:val="none" w:sz="0" w:space="0" w:color="auto"/>
                    <w:bottom w:val="none" w:sz="0" w:space="0" w:color="auto"/>
                    <w:right w:val="none" w:sz="0" w:space="0" w:color="auto"/>
                  </w:divBdr>
                  <w:divsChild>
                    <w:div w:id="1213082852">
                      <w:marLeft w:val="0"/>
                      <w:marRight w:val="0"/>
                      <w:marTop w:val="0"/>
                      <w:marBottom w:val="0"/>
                      <w:divBdr>
                        <w:top w:val="none" w:sz="0" w:space="0" w:color="auto"/>
                        <w:left w:val="none" w:sz="0" w:space="0" w:color="auto"/>
                        <w:bottom w:val="none" w:sz="0" w:space="0" w:color="auto"/>
                        <w:right w:val="none" w:sz="0" w:space="0" w:color="auto"/>
                      </w:divBdr>
                    </w:div>
                  </w:divsChild>
                </w:div>
                <w:div w:id="975569906">
                  <w:marLeft w:val="0"/>
                  <w:marRight w:val="0"/>
                  <w:marTop w:val="0"/>
                  <w:marBottom w:val="0"/>
                  <w:divBdr>
                    <w:top w:val="none" w:sz="0" w:space="0" w:color="auto"/>
                    <w:left w:val="none" w:sz="0" w:space="0" w:color="auto"/>
                    <w:bottom w:val="none" w:sz="0" w:space="0" w:color="auto"/>
                    <w:right w:val="none" w:sz="0" w:space="0" w:color="auto"/>
                  </w:divBdr>
                  <w:divsChild>
                    <w:div w:id="3560168">
                      <w:marLeft w:val="0"/>
                      <w:marRight w:val="0"/>
                      <w:marTop w:val="0"/>
                      <w:marBottom w:val="0"/>
                      <w:divBdr>
                        <w:top w:val="none" w:sz="0" w:space="0" w:color="auto"/>
                        <w:left w:val="none" w:sz="0" w:space="0" w:color="auto"/>
                        <w:bottom w:val="none" w:sz="0" w:space="0" w:color="auto"/>
                        <w:right w:val="none" w:sz="0" w:space="0" w:color="auto"/>
                      </w:divBdr>
                    </w:div>
                  </w:divsChild>
                </w:div>
                <w:div w:id="1075056006">
                  <w:marLeft w:val="0"/>
                  <w:marRight w:val="0"/>
                  <w:marTop w:val="0"/>
                  <w:marBottom w:val="0"/>
                  <w:divBdr>
                    <w:top w:val="none" w:sz="0" w:space="0" w:color="auto"/>
                    <w:left w:val="none" w:sz="0" w:space="0" w:color="auto"/>
                    <w:bottom w:val="none" w:sz="0" w:space="0" w:color="auto"/>
                    <w:right w:val="none" w:sz="0" w:space="0" w:color="auto"/>
                  </w:divBdr>
                  <w:divsChild>
                    <w:div w:id="772280780">
                      <w:marLeft w:val="0"/>
                      <w:marRight w:val="0"/>
                      <w:marTop w:val="0"/>
                      <w:marBottom w:val="0"/>
                      <w:divBdr>
                        <w:top w:val="none" w:sz="0" w:space="0" w:color="auto"/>
                        <w:left w:val="none" w:sz="0" w:space="0" w:color="auto"/>
                        <w:bottom w:val="none" w:sz="0" w:space="0" w:color="auto"/>
                        <w:right w:val="none" w:sz="0" w:space="0" w:color="auto"/>
                      </w:divBdr>
                    </w:div>
                    <w:div w:id="1669138601">
                      <w:marLeft w:val="0"/>
                      <w:marRight w:val="0"/>
                      <w:marTop w:val="0"/>
                      <w:marBottom w:val="0"/>
                      <w:divBdr>
                        <w:top w:val="none" w:sz="0" w:space="0" w:color="auto"/>
                        <w:left w:val="none" w:sz="0" w:space="0" w:color="auto"/>
                        <w:bottom w:val="none" w:sz="0" w:space="0" w:color="auto"/>
                        <w:right w:val="none" w:sz="0" w:space="0" w:color="auto"/>
                      </w:divBdr>
                    </w:div>
                    <w:div w:id="1749502034">
                      <w:marLeft w:val="0"/>
                      <w:marRight w:val="0"/>
                      <w:marTop w:val="0"/>
                      <w:marBottom w:val="0"/>
                      <w:divBdr>
                        <w:top w:val="none" w:sz="0" w:space="0" w:color="auto"/>
                        <w:left w:val="none" w:sz="0" w:space="0" w:color="auto"/>
                        <w:bottom w:val="none" w:sz="0" w:space="0" w:color="auto"/>
                        <w:right w:val="none" w:sz="0" w:space="0" w:color="auto"/>
                      </w:divBdr>
                    </w:div>
                  </w:divsChild>
                </w:div>
                <w:div w:id="1146777328">
                  <w:marLeft w:val="0"/>
                  <w:marRight w:val="0"/>
                  <w:marTop w:val="0"/>
                  <w:marBottom w:val="0"/>
                  <w:divBdr>
                    <w:top w:val="none" w:sz="0" w:space="0" w:color="auto"/>
                    <w:left w:val="none" w:sz="0" w:space="0" w:color="auto"/>
                    <w:bottom w:val="none" w:sz="0" w:space="0" w:color="auto"/>
                    <w:right w:val="none" w:sz="0" w:space="0" w:color="auto"/>
                  </w:divBdr>
                  <w:divsChild>
                    <w:div w:id="1930960780">
                      <w:marLeft w:val="0"/>
                      <w:marRight w:val="0"/>
                      <w:marTop w:val="0"/>
                      <w:marBottom w:val="0"/>
                      <w:divBdr>
                        <w:top w:val="none" w:sz="0" w:space="0" w:color="auto"/>
                        <w:left w:val="none" w:sz="0" w:space="0" w:color="auto"/>
                        <w:bottom w:val="none" w:sz="0" w:space="0" w:color="auto"/>
                        <w:right w:val="none" w:sz="0" w:space="0" w:color="auto"/>
                      </w:divBdr>
                    </w:div>
                  </w:divsChild>
                </w:div>
                <w:div w:id="1208832668">
                  <w:marLeft w:val="0"/>
                  <w:marRight w:val="0"/>
                  <w:marTop w:val="0"/>
                  <w:marBottom w:val="0"/>
                  <w:divBdr>
                    <w:top w:val="none" w:sz="0" w:space="0" w:color="auto"/>
                    <w:left w:val="none" w:sz="0" w:space="0" w:color="auto"/>
                    <w:bottom w:val="none" w:sz="0" w:space="0" w:color="auto"/>
                    <w:right w:val="none" w:sz="0" w:space="0" w:color="auto"/>
                  </w:divBdr>
                  <w:divsChild>
                    <w:div w:id="764888187">
                      <w:marLeft w:val="0"/>
                      <w:marRight w:val="0"/>
                      <w:marTop w:val="0"/>
                      <w:marBottom w:val="0"/>
                      <w:divBdr>
                        <w:top w:val="none" w:sz="0" w:space="0" w:color="auto"/>
                        <w:left w:val="none" w:sz="0" w:space="0" w:color="auto"/>
                        <w:bottom w:val="none" w:sz="0" w:space="0" w:color="auto"/>
                        <w:right w:val="none" w:sz="0" w:space="0" w:color="auto"/>
                      </w:divBdr>
                    </w:div>
                  </w:divsChild>
                </w:div>
                <w:div w:id="1230310924">
                  <w:marLeft w:val="0"/>
                  <w:marRight w:val="0"/>
                  <w:marTop w:val="0"/>
                  <w:marBottom w:val="0"/>
                  <w:divBdr>
                    <w:top w:val="none" w:sz="0" w:space="0" w:color="auto"/>
                    <w:left w:val="none" w:sz="0" w:space="0" w:color="auto"/>
                    <w:bottom w:val="none" w:sz="0" w:space="0" w:color="auto"/>
                    <w:right w:val="none" w:sz="0" w:space="0" w:color="auto"/>
                  </w:divBdr>
                  <w:divsChild>
                    <w:div w:id="144318661">
                      <w:marLeft w:val="0"/>
                      <w:marRight w:val="0"/>
                      <w:marTop w:val="0"/>
                      <w:marBottom w:val="0"/>
                      <w:divBdr>
                        <w:top w:val="none" w:sz="0" w:space="0" w:color="auto"/>
                        <w:left w:val="none" w:sz="0" w:space="0" w:color="auto"/>
                        <w:bottom w:val="none" w:sz="0" w:space="0" w:color="auto"/>
                        <w:right w:val="none" w:sz="0" w:space="0" w:color="auto"/>
                      </w:divBdr>
                    </w:div>
                  </w:divsChild>
                </w:div>
                <w:div w:id="1253591470">
                  <w:marLeft w:val="0"/>
                  <w:marRight w:val="0"/>
                  <w:marTop w:val="0"/>
                  <w:marBottom w:val="0"/>
                  <w:divBdr>
                    <w:top w:val="none" w:sz="0" w:space="0" w:color="auto"/>
                    <w:left w:val="none" w:sz="0" w:space="0" w:color="auto"/>
                    <w:bottom w:val="none" w:sz="0" w:space="0" w:color="auto"/>
                    <w:right w:val="none" w:sz="0" w:space="0" w:color="auto"/>
                  </w:divBdr>
                  <w:divsChild>
                    <w:div w:id="1548569844">
                      <w:marLeft w:val="0"/>
                      <w:marRight w:val="0"/>
                      <w:marTop w:val="0"/>
                      <w:marBottom w:val="0"/>
                      <w:divBdr>
                        <w:top w:val="none" w:sz="0" w:space="0" w:color="auto"/>
                        <w:left w:val="none" w:sz="0" w:space="0" w:color="auto"/>
                        <w:bottom w:val="none" w:sz="0" w:space="0" w:color="auto"/>
                        <w:right w:val="none" w:sz="0" w:space="0" w:color="auto"/>
                      </w:divBdr>
                    </w:div>
                  </w:divsChild>
                </w:div>
                <w:div w:id="1260485842">
                  <w:marLeft w:val="0"/>
                  <w:marRight w:val="0"/>
                  <w:marTop w:val="0"/>
                  <w:marBottom w:val="0"/>
                  <w:divBdr>
                    <w:top w:val="none" w:sz="0" w:space="0" w:color="auto"/>
                    <w:left w:val="none" w:sz="0" w:space="0" w:color="auto"/>
                    <w:bottom w:val="none" w:sz="0" w:space="0" w:color="auto"/>
                    <w:right w:val="none" w:sz="0" w:space="0" w:color="auto"/>
                  </w:divBdr>
                  <w:divsChild>
                    <w:div w:id="566455079">
                      <w:marLeft w:val="0"/>
                      <w:marRight w:val="0"/>
                      <w:marTop w:val="0"/>
                      <w:marBottom w:val="0"/>
                      <w:divBdr>
                        <w:top w:val="none" w:sz="0" w:space="0" w:color="auto"/>
                        <w:left w:val="none" w:sz="0" w:space="0" w:color="auto"/>
                        <w:bottom w:val="none" w:sz="0" w:space="0" w:color="auto"/>
                        <w:right w:val="none" w:sz="0" w:space="0" w:color="auto"/>
                      </w:divBdr>
                    </w:div>
                    <w:div w:id="1173453040">
                      <w:marLeft w:val="0"/>
                      <w:marRight w:val="0"/>
                      <w:marTop w:val="0"/>
                      <w:marBottom w:val="0"/>
                      <w:divBdr>
                        <w:top w:val="none" w:sz="0" w:space="0" w:color="auto"/>
                        <w:left w:val="none" w:sz="0" w:space="0" w:color="auto"/>
                        <w:bottom w:val="none" w:sz="0" w:space="0" w:color="auto"/>
                        <w:right w:val="none" w:sz="0" w:space="0" w:color="auto"/>
                      </w:divBdr>
                    </w:div>
                  </w:divsChild>
                </w:div>
                <w:div w:id="1267494597">
                  <w:marLeft w:val="0"/>
                  <w:marRight w:val="0"/>
                  <w:marTop w:val="0"/>
                  <w:marBottom w:val="0"/>
                  <w:divBdr>
                    <w:top w:val="none" w:sz="0" w:space="0" w:color="auto"/>
                    <w:left w:val="none" w:sz="0" w:space="0" w:color="auto"/>
                    <w:bottom w:val="none" w:sz="0" w:space="0" w:color="auto"/>
                    <w:right w:val="none" w:sz="0" w:space="0" w:color="auto"/>
                  </w:divBdr>
                  <w:divsChild>
                    <w:div w:id="1788088510">
                      <w:marLeft w:val="0"/>
                      <w:marRight w:val="0"/>
                      <w:marTop w:val="0"/>
                      <w:marBottom w:val="0"/>
                      <w:divBdr>
                        <w:top w:val="none" w:sz="0" w:space="0" w:color="auto"/>
                        <w:left w:val="none" w:sz="0" w:space="0" w:color="auto"/>
                        <w:bottom w:val="none" w:sz="0" w:space="0" w:color="auto"/>
                        <w:right w:val="none" w:sz="0" w:space="0" w:color="auto"/>
                      </w:divBdr>
                    </w:div>
                  </w:divsChild>
                </w:div>
                <w:div w:id="1293554261">
                  <w:marLeft w:val="0"/>
                  <w:marRight w:val="0"/>
                  <w:marTop w:val="0"/>
                  <w:marBottom w:val="0"/>
                  <w:divBdr>
                    <w:top w:val="none" w:sz="0" w:space="0" w:color="auto"/>
                    <w:left w:val="none" w:sz="0" w:space="0" w:color="auto"/>
                    <w:bottom w:val="none" w:sz="0" w:space="0" w:color="auto"/>
                    <w:right w:val="none" w:sz="0" w:space="0" w:color="auto"/>
                  </w:divBdr>
                  <w:divsChild>
                    <w:div w:id="1209147826">
                      <w:marLeft w:val="0"/>
                      <w:marRight w:val="0"/>
                      <w:marTop w:val="0"/>
                      <w:marBottom w:val="0"/>
                      <w:divBdr>
                        <w:top w:val="none" w:sz="0" w:space="0" w:color="auto"/>
                        <w:left w:val="none" w:sz="0" w:space="0" w:color="auto"/>
                        <w:bottom w:val="none" w:sz="0" w:space="0" w:color="auto"/>
                        <w:right w:val="none" w:sz="0" w:space="0" w:color="auto"/>
                      </w:divBdr>
                    </w:div>
                  </w:divsChild>
                </w:div>
                <w:div w:id="1398362484">
                  <w:marLeft w:val="0"/>
                  <w:marRight w:val="0"/>
                  <w:marTop w:val="0"/>
                  <w:marBottom w:val="0"/>
                  <w:divBdr>
                    <w:top w:val="none" w:sz="0" w:space="0" w:color="auto"/>
                    <w:left w:val="none" w:sz="0" w:space="0" w:color="auto"/>
                    <w:bottom w:val="none" w:sz="0" w:space="0" w:color="auto"/>
                    <w:right w:val="none" w:sz="0" w:space="0" w:color="auto"/>
                  </w:divBdr>
                  <w:divsChild>
                    <w:div w:id="526330672">
                      <w:marLeft w:val="0"/>
                      <w:marRight w:val="0"/>
                      <w:marTop w:val="0"/>
                      <w:marBottom w:val="0"/>
                      <w:divBdr>
                        <w:top w:val="none" w:sz="0" w:space="0" w:color="auto"/>
                        <w:left w:val="none" w:sz="0" w:space="0" w:color="auto"/>
                        <w:bottom w:val="none" w:sz="0" w:space="0" w:color="auto"/>
                        <w:right w:val="none" w:sz="0" w:space="0" w:color="auto"/>
                      </w:divBdr>
                    </w:div>
                    <w:div w:id="2107654660">
                      <w:marLeft w:val="0"/>
                      <w:marRight w:val="0"/>
                      <w:marTop w:val="0"/>
                      <w:marBottom w:val="0"/>
                      <w:divBdr>
                        <w:top w:val="none" w:sz="0" w:space="0" w:color="auto"/>
                        <w:left w:val="none" w:sz="0" w:space="0" w:color="auto"/>
                        <w:bottom w:val="none" w:sz="0" w:space="0" w:color="auto"/>
                        <w:right w:val="none" w:sz="0" w:space="0" w:color="auto"/>
                      </w:divBdr>
                    </w:div>
                  </w:divsChild>
                </w:div>
                <w:div w:id="1456606576">
                  <w:marLeft w:val="0"/>
                  <w:marRight w:val="0"/>
                  <w:marTop w:val="0"/>
                  <w:marBottom w:val="0"/>
                  <w:divBdr>
                    <w:top w:val="none" w:sz="0" w:space="0" w:color="auto"/>
                    <w:left w:val="none" w:sz="0" w:space="0" w:color="auto"/>
                    <w:bottom w:val="none" w:sz="0" w:space="0" w:color="auto"/>
                    <w:right w:val="none" w:sz="0" w:space="0" w:color="auto"/>
                  </w:divBdr>
                  <w:divsChild>
                    <w:div w:id="905913542">
                      <w:marLeft w:val="0"/>
                      <w:marRight w:val="0"/>
                      <w:marTop w:val="0"/>
                      <w:marBottom w:val="0"/>
                      <w:divBdr>
                        <w:top w:val="none" w:sz="0" w:space="0" w:color="auto"/>
                        <w:left w:val="none" w:sz="0" w:space="0" w:color="auto"/>
                        <w:bottom w:val="none" w:sz="0" w:space="0" w:color="auto"/>
                        <w:right w:val="none" w:sz="0" w:space="0" w:color="auto"/>
                      </w:divBdr>
                    </w:div>
                  </w:divsChild>
                </w:div>
                <w:div w:id="1478646169">
                  <w:marLeft w:val="0"/>
                  <w:marRight w:val="0"/>
                  <w:marTop w:val="0"/>
                  <w:marBottom w:val="0"/>
                  <w:divBdr>
                    <w:top w:val="none" w:sz="0" w:space="0" w:color="auto"/>
                    <w:left w:val="none" w:sz="0" w:space="0" w:color="auto"/>
                    <w:bottom w:val="none" w:sz="0" w:space="0" w:color="auto"/>
                    <w:right w:val="none" w:sz="0" w:space="0" w:color="auto"/>
                  </w:divBdr>
                  <w:divsChild>
                    <w:div w:id="411435077">
                      <w:marLeft w:val="0"/>
                      <w:marRight w:val="0"/>
                      <w:marTop w:val="0"/>
                      <w:marBottom w:val="0"/>
                      <w:divBdr>
                        <w:top w:val="none" w:sz="0" w:space="0" w:color="auto"/>
                        <w:left w:val="none" w:sz="0" w:space="0" w:color="auto"/>
                        <w:bottom w:val="none" w:sz="0" w:space="0" w:color="auto"/>
                        <w:right w:val="none" w:sz="0" w:space="0" w:color="auto"/>
                      </w:divBdr>
                    </w:div>
                  </w:divsChild>
                </w:div>
                <w:div w:id="1541866611">
                  <w:marLeft w:val="0"/>
                  <w:marRight w:val="0"/>
                  <w:marTop w:val="0"/>
                  <w:marBottom w:val="0"/>
                  <w:divBdr>
                    <w:top w:val="none" w:sz="0" w:space="0" w:color="auto"/>
                    <w:left w:val="none" w:sz="0" w:space="0" w:color="auto"/>
                    <w:bottom w:val="none" w:sz="0" w:space="0" w:color="auto"/>
                    <w:right w:val="none" w:sz="0" w:space="0" w:color="auto"/>
                  </w:divBdr>
                  <w:divsChild>
                    <w:div w:id="427506501">
                      <w:marLeft w:val="0"/>
                      <w:marRight w:val="0"/>
                      <w:marTop w:val="0"/>
                      <w:marBottom w:val="0"/>
                      <w:divBdr>
                        <w:top w:val="none" w:sz="0" w:space="0" w:color="auto"/>
                        <w:left w:val="none" w:sz="0" w:space="0" w:color="auto"/>
                        <w:bottom w:val="none" w:sz="0" w:space="0" w:color="auto"/>
                        <w:right w:val="none" w:sz="0" w:space="0" w:color="auto"/>
                      </w:divBdr>
                    </w:div>
                  </w:divsChild>
                </w:div>
                <w:div w:id="1637225043">
                  <w:marLeft w:val="0"/>
                  <w:marRight w:val="0"/>
                  <w:marTop w:val="0"/>
                  <w:marBottom w:val="0"/>
                  <w:divBdr>
                    <w:top w:val="none" w:sz="0" w:space="0" w:color="auto"/>
                    <w:left w:val="none" w:sz="0" w:space="0" w:color="auto"/>
                    <w:bottom w:val="none" w:sz="0" w:space="0" w:color="auto"/>
                    <w:right w:val="none" w:sz="0" w:space="0" w:color="auto"/>
                  </w:divBdr>
                  <w:divsChild>
                    <w:div w:id="1109200039">
                      <w:marLeft w:val="0"/>
                      <w:marRight w:val="0"/>
                      <w:marTop w:val="0"/>
                      <w:marBottom w:val="0"/>
                      <w:divBdr>
                        <w:top w:val="none" w:sz="0" w:space="0" w:color="auto"/>
                        <w:left w:val="none" w:sz="0" w:space="0" w:color="auto"/>
                        <w:bottom w:val="none" w:sz="0" w:space="0" w:color="auto"/>
                        <w:right w:val="none" w:sz="0" w:space="0" w:color="auto"/>
                      </w:divBdr>
                    </w:div>
                  </w:divsChild>
                </w:div>
                <w:div w:id="1720323706">
                  <w:marLeft w:val="0"/>
                  <w:marRight w:val="0"/>
                  <w:marTop w:val="0"/>
                  <w:marBottom w:val="0"/>
                  <w:divBdr>
                    <w:top w:val="none" w:sz="0" w:space="0" w:color="auto"/>
                    <w:left w:val="none" w:sz="0" w:space="0" w:color="auto"/>
                    <w:bottom w:val="none" w:sz="0" w:space="0" w:color="auto"/>
                    <w:right w:val="none" w:sz="0" w:space="0" w:color="auto"/>
                  </w:divBdr>
                  <w:divsChild>
                    <w:div w:id="1015569777">
                      <w:marLeft w:val="0"/>
                      <w:marRight w:val="0"/>
                      <w:marTop w:val="0"/>
                      <w:marBottom w:val="0"/>
                      <w:divBdr>
                        <w:top w:val="none" w:sz="0" w:space="0" w:color="auto"/>
                        <w:left w:val="none" w:sz="0" w:space="0" w:color="auto"/>
                        <w:bottom w:val="none" w:sz="0" w:space="0" w:color="auto"/>
                        <w:right w:val="none" w:sz="0" w:space="0" w:color="auto"/>
                      </w:divBdr>
                    </w:div>
                  </w:divsChild>
                </w:div>
                <w:div w:id="1745835080">
                  <w:marLeft w:val="0"/>
                  <w:marRight w:val="0"/>
                  <w:marTop w:val="0"/>
                  <w:marBottom w:val="0"/>
                  <w:divBdr>
                    <w:top w:val="none" w:sz="0" w:space="0" w:color="auto"/>
                    <w:left w:val="none" w:sz="0" w:space="0" w:color="auto"/>
                    <w:bottom w:val="none" w:sz="0" w:space="0" w:color="auto"/>
                    <w:right w:val="none" w:sz="0" w:space="0" w:color="auto"/>
                  </w:divBdr>
                  <w:divsChild>
                    <w:div w:id="1342777193">
                      <w:marLeft w:val="0"/>
                      <w:marRight w:val="0"/>
                      <w:marTop w:val="0"/>
                      <w:marBottom w:val="0"/>
                      <w:divBdr>
                        <w:top w:val="none" w:sz="0" w:space="0" w:color="auto"/>
                        <w:left w:val="none" w:sz="0" w:space="0" w:color="auto"/>
                        <w:bottom w:val="none" w:sz="0" w:space="0" w:color="auto"/>
                        <w:right w:val="none" w:sz="0" w:space="0" w:color="auto"/>
                      </w:divBdr>
                    </w:div>
                  </w:divsChild>
                </w:div>
                <w:div w:id="1754282504">
                  <w:marLeft w:val="0"/>
                  <w:marRight w:val="0"/>
                  <w:marTop w:val="0"/>
                  <w:marBottom w:val="0"/>
                  <w:divBdr>
                    <w:top w:val="none" w:sz="0" w:space="0" w:color="auto"/>
                    <w:left w:val="none" w:sz="0" w:space="0" w:color="auto"/>
                    <w:bottom w:val="none" w:sz="0" w:space="0" w:color="auto"/>
                    <w:right w:val="none" w:sz="0" w:space="0" w:color="auto"/>
                  </w:divBdr>
                  <w:divsChild>
                    <w:div w:id="567233324">
                      <w:marLeft w:val="0"/>
                      <w:marRight w:val="0"/>
                      <w:marTop w:val="0"/>
                      <w:marBottom w:val="0"/>
                      <w:divBdr>
                        <w:top w:val="none" w:sz="0" w:space="0" w:color="auto"/>
                        <w:left w:val="none" w:sz="0" w:space="0" w:color="auto"/>
                        <w:bottom w:val="none" w:sz="0" w:space="0" w:color="auto"/>
                        <w:right w:val="none" w:sz="0" w:space="0" w:color="auto"/>
                      </w:divBdr>
                    </w:div>
                  </w:divsChild>
                </w:div>
                <w:div w:id="1789078457">
                  <w:marLeft w:val="0"/>
                  <w:marRight w:val="0"/>
                  <w:marTop w:val="0"/>
                  <w:marBottom w:val="0"/>
                  <w:divBdr>
                    <w:top w:val="none" w:sz="0" w:space="0" w:color="auto"/>
                    <w:left w:val="none" w:sz="0" w:space="0" w:color="auto"/>
                    <w:bottom w:val="none" w:sz="0" w:space="0" w:color="auto"/>
                    <w:right w:val="none" w:sz="0" w:space="0" w:color="auto"/>
                  </w:divBdr>
                  <w:divsChild>
                    <w:div w:id="478234888">
                      <w:marLeft w:val="0"/>
                      <w:marRight w:val="0"/>
                      <w:marTop w:val="0"/>
                      <w:marBottom w:val="0"/>
                      <w:divBdr>
                        <w:top w:val="none" w:sz="0" w:space="0" w:color="auto"/>
                        <w:left w:val="none" w:sz="0" w:space="0" w:color="auto"/>
                        <w:bottom w:val="none" w:sz="0" w:space="0" w:color="auto"/>
                        <w:right w:val="none" w:sz="0" w:space="0" w:color="auto"/>
                      </w:divBdr>
                    </w:div>
                    <w:div w:id="915630648">
                      <w:marLeft w:val="0"/>
                      <w:marRight w:val="0"/>
                      <w:marTop w:val="0"/>
                      <w:marBottom w:val="0"/>
                      <w:divBdr>
                        <w:top w:val="none" w:sz="0" w:space="0" w:color="auto"/>
                        <w:left w:val="none" w:sz="0" w:space="0" w:color="auto"/>
                        <w:bottom w:val="none" w:sz="0" w:space="0" w:color="auto"/>
                        <w:right w:val="none" w:sz="0" w:space="0" w:color="auto"/>
                      </w:divBdr>
                    </w:div>
                    <w:div w:id="1004622960">
                      <w:marLeft w:val="0"/>
                      <w:marRight w:val="0"/>
                      <w:marTop w:val="0"/>
                      <w:marBottom w:val="0"/>
                      <w:divBdr>
                        <w:top w:val="none" w:sz="0" w:space="0" w:color="auto"/>
                        <w:left w:val="none" w:sz="0" w:space="0" w:color="auto"/>
                        <w:bottom w:val="none" w:sz="0" w:space="0" w:color="auto"/>
                        <w:right w:val="none" w:sz="0" w:space="0" w:color="auto"/>
                      </w:divBdr>
                    </w:div>
                    <w:div w:id="1131825432">
                      <w:marLeft w:val="0"/>
                      <w:marRight w:val="0"/>
                      <w:marTop w:val="0"/>
                      <w:marBottom w:val="0"/>
                      <w:divBdr>
                        <w:top w:val="none" w:sz="0" w:space="0" w:color="auto"/>
                        <w:left w:val="none" w:sz="0" w:space="0" w:color="auto"/>
                        <w:bottom w:val="none" w:sz="0" w:space="0" w:color="auto"/>
                        <w:right w:val="none" w:sz="0" w:space="0" w:color="auto"/>
                      </w:divBdr>
                    </w:div>
                    <w:div w:id="1472018499">
                      <w:marLeft w:val="0"/>
                      <w:marRight w:val="0"/>
                      <w:marTop w:val="0"/>
                      <w:marBottom w:val="0"/>
                      <w:divBdr>
                        <w:top w:val="none" w:sz="0" w:space="0" w:color="auto"/>
                        <w:left w:val="none" w:sz="0" w:space="0" w:color="auto"/>
                        <w:bottom w:val="none" w:sz="0" w:space="0" w:color="auto"/>
                        <w:right w:val="none" w:sz="0" w:space="0" w:color="auto"/>
                      </w:divBdr>
                    </w:div>
                    <w:div w:id="1664165108">
                      <w:marLeft w:val="0"/>
                      <w:marRight w:val="0"/>
                      <w:marTop w:val="0"/>
                      <w:marBottom w:val="0"/>
                      <w:divBdr>
                        <w:top w:val="none" w:sz="0" w:space="0" w:color="auto"/>
                        <w:left w:val="none" w:sz="0" w:space="0" w:color="auto"/>
                        <w:bottom w:val="none" w:sz="0" w:space="0" w:color="auto"/>
                        <w:right w:val="none" w:sz="0" w:space="0" w:color="auto"/>
                      </w:divBdr>
                    </w:div>
                    <w:div w:id="1665550673">
                      <w:marLeft w:val="0"/>
                      <w:marRight w:val="0"/>
                      <w:marTop w:val="0"/>
                      <w:marBottom w:val="0"/>
                      <w:divBdr>
                        <w:top w:val="none" w:sz="0" w:space="0" w:color="auto"/>
                        <w:left w:val="none" w:sz="0" w:space="0" w:color="auto"/>
                        <w:bottom w:val="none" w:sz="0" w:space="0" w:color="auto"/>
                        <w:right w:val="none" w:sz="0" w:space="0" w:color="auto"/>
                      </w:divBdr>
                    </w:div>
                    <w:div w:id="1772776702">
                      <w:marLeft w:val="0"/>
                      <w:marRight w:val="0"/>
                      <w:marTop w:val="0"/>
                      <w:marBottom w:val="0"/>
                      <w:divBdr>
                        <w:top w:val="none" w:sz="0" w:space="0" w:color="auto"/>
                        <w:left w:val="none" w:sz="0" w:space="0" w:color="auto"/>
                        <w:bottom w:val="none" w:sz="0" w:space="0" w:color="auto"/>
                        <w:right w:val="none" w:sz="0" w:space="0" w:color="auto"/>
                      </w:divBdr>
                    </w:div>
                  </w:divsChild>
                </w:div>
                <w:div w:id="1808625669">
                  <w:marLeft w:val="0"/>
                  <w:marRight w:val="0"/>
                  <w:marTop w:val="0"/>
                  <w:marBottom w:val="0"/>
                  <w:divBdr>
                    <w:top w:val="none" w:sz="0" w:space="0" w:color="auto"/>
                    <w:left w:val="none" w:sz="0" w:space="0" w:color="auto"/>
                    <w:bottom w:val="none" w:sz="0" w:space="0" w:color="auto"/>
                    <w:right w:val="none" w:sz="0" w:space="0" w:color="auto"/>
                  </w:divBdr>
                  <w:divsChild>
                    <w:div w:id="1113018586">
                      <w:marLeft w:val="0"/>
                      <w:marRight w:val="0"/>
                      <w:marTop w:val="0"/>
                      <w:marBottom w:val="0"/>
                      <w:divBdr>
                        <w:top w:val="none" w:sz="0" w:space="0" w:color="auto"/>
                        <w:left w:val="none" w:sz="0" w:space="0" w:color="auto"/>
                        <w:bottom w:val="none" w:sz="0" w:space="0" w:color="auto"/>
                        <w:right w:val="none" w:sz="0" w:space="0" w:color="auto"/>
                      </w:divBdr>
                    </w:div>
                  </w:divsChild>
                </w:div>
                <w:div w:id="1860387666">
                  <w:marLeft w:val="0"/>
                  <w:marRight w:val="0"/>
                  <w:marTop w:val="0"/>
                  <w:marBottom w:val="0"/>
                  <w:divBdr>
                    <w:top w:val="none" w:sz="0" w:space="0" w:color="auto"/>
                    <w:left w:val="none" w:sz="0" w:space="0" w:color="auto"/>
                    <w:bottom w:val="none" w:sz="0" w:space="0" w:color="auto"/>
                    <w:right w:val="none" w:sz="0" w:space="0" w:color="auto"/>
                  </w:divBdr>
                  <w:divsChild>
                    <w:div w:id="458374792">
                      <w:marLeft w:val="0"/>
                      <w:marRight w:val="0"/>
                      <w:marTop w:val="0"/>
                      <w:marBottom w:val="0"/>
                      <w:divBdr>
                        <w:top w:val="none" w:sz="0" w:space="0" w:color="auto"/>
                        <w:left w:val="none" w:sz="0" w:space="0" w:color="auto"/>
                        <w:bottom w:val="none" w:sz="0" w:space="0" w:color="auto"/>
                        <w:right w:val="none" w:sz="0" w:space="0" w:color="auto"/>
                      </w:divBdr>
                    </w:div>
                  </w:divsChild>
                </w:div>
                <w:div w:id="1873110240">
                  <w:marLeft w:val="0"/>
                  <w:marRight w:val="0"/>
                  <w:marTop w:val="0"/>
                  <w:marBottom w:val="0"/>
                  <w:divBdr>
                    <w:top w:val="none" w:sz="0" w:space="0" w:color="auto"/>
                    <w:left w:val="none" w:sz="0" w:space="0" w:color="auto"/>
                    <w:bottom w:val="none" w:sz="0" w:space="0" w:color="auto"/>
                    <w:right w:val="none" w:sz="0" w:space="0" w:color="auto"/>
                  </w:divBdr>
                  <w:divsChild>
                    <w:div w:id="566651941">
                      <w:marLeft w:val="0"/>
                      <w:marRight w:val="0"/>
                      <w:marTop w:val="0"/>
                      <w:marBottom w:val="0"/>
                      <w:divBdr>
                        <w:top w:val="none" w:sz="0" w:space="0" w:color="auto"/>
                        <w:left w:val="none" w:sz="0" w:space="0" w:color="auto"/>
                        <w:bottom w:val="none" w:sz="0" w:space="0" w:color="auto"/>
                        <w:right w:val="none" w:sz="0" w:space="0" w:color="auto"/>
                      </w:divBdr>
                    </w:div>
                  </w:divsChild>
                </w:div>
                <w:div w:id="1965038432">
                  <w:marLeft w:val="0"/>
                  <w:marRight w:val="0"/>
                  <w:marTop w:val="0"/>
                  <w:marBottom w:val="0"/>
                  <w:divBdr>
                    <w:top w:val="none" w:sz="0" w:space="0" w:color="auto"/>
                    <w:left w:val="none" w:sz="0" w:space="0" w:color="auto"/>
                    <w:bottom w:val="none" w:sz="0" w:space="0" w:color="auto"/>
                    <w:right w:val="none" w:sz="0" w:space="0" w:color="auto"/>
                  </w:divBdr>
                  <w:divsChild>
                    <w:div w:id="1641879640">
                      <w:marLeft w:val="0"/>
                      <w:marRight w:val="0"/>
                      <w:marTop w:val="0"/>
                      <w:marBottom w:val="0"/>
                      <w:divBdr>
                        <w:top w:val="none" w:sz="0" w:space="0" w:color="auto"/>
                        <w:left w:val="none" w:sz="0" w:space="0" w:color="auto"/>
                        <w:bottom w:val="none" w:sz="0" w:space="0" w:color="auto"/>
                        <w:right w:val="none" w:sz="0" w:space="0" w:color="auto"/>
                      </w:divBdr>
                    </w:div>
                  </w:divsChild>
                </w:div>
                <w:div w:id="2052221879">
                  <w:marLeft w:val="0"/>
                  <w:marRight w:val="0"/>
                  <w:marTop w:val="0"/>
                  <w:marBottom w:val="0"/>
                  <w:divBdr>
                    <w:top w:val="none" w:sz="0" w:space="0" w:color="auto"/>
                    <w:left w:val="none" w:sz="0" w:space="0" w:color="auto"/>
                    <w:bottom w:val="none" w:sz="0" w:space="0" w:color="auto"/>
                    <w:right w:val="none" w:sz="0" w:space="0" w:color="auto"/>
                  </w:divBdr>
                  <w:divsChild>
                    <w:div w:id="2002392445">
                      <w:marLeft w:val="0"/>
                      <w:marRight w:val="0"/>
                      <w:marTop w:val="0"/>
                      <w:marBottom w:val="0"/>
                      <w:divBdr>
                        <w:top w:val="none" w:sz="0" w:space="0" w:color="auto"/>
                        <w:left w:val="none" w:sz="0" w:space="0" w:color="auto"/>
                        <w:bottom w:val="none" w:sz="0" w:space="0" w:color="auto"/>
                        <w:right w:val="none" w:sz="0" w:space="0" w:color="auto"/>
                      </w:divBdr>
                    </w:div>
                  </w:divsChild>
                </w:div>
                <w:div w:id="2143689689">
                  <w:marLeft w:val="0"/>
                  <w:marRight w:val="0"/>
                  <w:marTop w:val="0"/>
                  <w:marBottom w:val="0"/>
                  <w:divBdr>
                    <w:top w:val="none" w:sz="0" w:space="0" w:color="auto"/>
                    <w:left w:val="none" w:sz="0" w:space="0" w:color="auto"/>
                    <w:bottom w:val="none" w:sz="0" w:space="0" w:color="auto"/>
                    <w:right w:val="none" w:sz="0" w:space="0" w:color="auto"/>
                  </w:divBdr>
                  <w:divsChild>
                    <w:div w:id="745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43194">
      <w:bodyDiv w:val="1"/>
      <w:marLeft w:val="0"/>
      <w:marRight w:val="0"/>
      <w:marTop w:val="0"/>
      <w:marBottom w:val="0"/>
      <w:divBdr>
        <w:top w:val="none" w:sz="0" w:space="0" w:color="auto"/>
        <w:left w:val="none" w:sz="0" w:space="0" w:color="auto"/>
        <w:bottom w:val="none" w:sz="0" w:space="0" w:color="auto"/>
        <w:right w:val="none" w:sz="0" w:space="0" w:color="auto"/>
      </w:divBdr>
    </w:div>
    <w:div w:id="1688214420">
      <w:bodyDiv w:val="1"/>
      <w:marLeft w:val="0"/>
      <w:marRight w:val="0"/>
      <w:marTop w:val="0"/>
      <w:marBottom w:val="0"/>
      <w:divBdr>
        <w:top w:val="none" w:sz="0" w:space="0" w:color="auto"/>
        <w:left w:val="none" w:sz="0" w:space="0" w:color="auto"/>
        <w:bottom w:val="none" w:sz="0" w:space="0" w:color="auto"/>
        <w:right w:val="none" w:sz="0" w:space="0" w:color="auto"/>
      </w:divBdr>
    </w:div>
    <w:div w:id="1710454043">
      <w:bodyDiv w:val="1"/>
      <w:marLeft w:val="0"/>
      <w:marRight w:val="0"/>
      <w:marTop w:val="0"/>
      <w:marBottom w:val="0"/>
      <w:divBdr>
        <w:top w:val="none" w:sz="0" w:space="0" w:color="auto"/>
        <w:left w:val="none" w:sz="0" w:space="0" w:color="auto"/>
        <w:bottom w:val="none" w:sz="0" w:space="0" w:color="auto"/>
        <w:right w:val="none" w:sz="0" w:space="0" w:color="auto"/>
      </w:divBdr>
    </w:div>
    <w:div w:id="1785811261">
      <w:bodyDiv w:val="1"/>
      <w:marLeft w:val="0"/>
      <w:marRight w:val="0"/>
      <w:marTop w:val="0"/>
      <w:marBottom w:val="0"/>
      <w:divBdr>
        <w:top w:val="none" w:sz="0" w:space="0" w:color="auto"/>
        <w:left w:val="none" w:sz="0" w:space="0" w:color="auto"/>
        <w:bottom w:val="none" w:sz="0" w:space="0" w:color="auto"/>
        <w:right w:val="none" w:sz="0" w:space="0" w:color="auto"/>
      </w:divBdr>
    </w:div>
    <w:div w:id="1809081467">
      <w:bodyDiv w:val="1"/>
      <w:marLeft w:val="0"/>
      <w:marRight w:val="0"/>
      <w:marTop w:val="0"/>
      <w:marBottom w:val="0"/>
      <w:divBdr>
        <w:top w:val="none" w:sz="0" w:space="0" w:color="auto"/>
        <w:left w:val="none" w:sz="0" w:space="0" w:color="auto"/>
        <w:bottom w:val="none" w:sz="0" w:space="0" w:color="auto"/>
        <w:right w:val="none" w:sz="0" w:space="0" w:color="auto"/>
      </w:divBdr>
    </w:div>
    <w:div w:id="1928535588">
      <w:bodyDiv w:val="1"/>
      <w:marLeft w:val="0"/>
      <w:marRight w:val="0"/>
      <w:marTop w:val="0"/>
      <w:marBottom w:val="0"/>
      <w:divBdr>
        <w:top w:val="none" w:sz="0" w:space="0" w:color="auto"/>
        <w:left w:val="none" w:sz="0" w:space="0" w:color="auto"/>
        <w:bottom w:val="none" w:sz="0" w:space="0" w:color="auto"/>
        <w:right w:val="none" w:sz="0" w:space="0" w:color="auto"/>
      </w:divBdr>
    </w:div>
    <w:div w:id="20286299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o.org/faostat"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gar.jrc.ec.europa.eu/report_2024" TargetMode="External"/><Relationship Id="rId17" Type="http://schemas.openxmlformats.org/officeDocument/2006/relationships/hyperlink" Target="https://doi.org/10.59117/20.500.11822/43922" TargetMode="External"/><Relationship Id="rId2" Type="http://schemas.openxmlformats.org/officeDocument/2006/relationships/customXml" Target="../customXml/item2.xml"/><Relationship Id="rId16" Type="http://schemas.openxmlformats.org/officeDocument/2006/relationships/hyperlink" Target="https://www.ipcc-nggip.iges.or.jp/public/2006gl/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dgs.un.org/" TargetMode="External"/><Relationship Id="rId5" Type="http://schemas.openxmlformats.org/officeDocument/2006/relationships/numbering" Target="numbering.xml"/><Relationship Id="rId15" Type="http://schemas.openxmlformats.org/officeDocument/2006/relationships/hyperlink" Target="https://zenodo.org/records/765036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sd.copernicus.org/articles/14/4643/20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dgar.jrc.ec.europa.eu/report_2024"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9d088-eb8c-44ef-8763-aa7a721fda93">
      <Terms xmlns="http://schemas.microsoft.com/office/infopath/2007/PartnerControls"/>
    </lcf76f155ced4ddcb4097134ff3c332f>
    <SharedWithUsers xmlns="2bc455b3-dbe8-4f42-8b1b-eb51b92e635e">
      <UserInfo>
        <DisplayName>SharingLinks.431c16d0-446f-4085-9578-4c1d2c27eec0.Flexible.91212e3e-fa4c-44c0-bdea-60edbe464912</DisplayName>
        <AccountId>1287</AccountId>
        <AccountType/>
      </UserInfo>
      <UserInfo>
        <DisplayName>SharingLinks.4e644f30-be7a-4153-b74b-718fa78f2bc1.Flexible.9c0d4dc5-c004-4f58-a8fb-2fcae1e00fe1</DisplayName>
        <AccountId>1288</AccountId>
        <AccountType/>
      </UserInfo>
      <UserInfo>
        <DisplayName>Jenny Jing Chao</DisplayName>
        <AccountId>1289</AccountId>
        <AccountType/>
      </UserInfo>
      <UserInfo>
        <DisplayName>SharingLinks.1c146bf4-1c10-49b9-b9c4-f1befb3c3956.Flexible.277e8205-5a02-4282-bd26-8cf483a43165</DisplayName>
        <AccountId>1290</AccountId>
        <AccountType/>
      </UserInfo>
      <UserInfo>
        <DisplayName>SharingLinks.39f5e612-1b66-4044-82d3-75c75d0347d8.OrganizationEdit.435a259a-1eed-450a-acf8-deb1d789d4a4</DisplayName>
        <AccountId>1291</AccountId>
        <AccountType/>
      </UserInfo>
      <UserInfo>
        <DisplayName>SharingLinks.faf8d976-c191-414d-8753-fe66740785c1.OrganizationEdit.1db1db81-b821-4c7b-8986-51039e187a41</DisplayName>
        <AccountId>1292</AccountId>
        <AccountType/>
      </UserInfo>
      <UserInfo>
        <DisplayName>SharingLinks.e656fc81-63e9-48f4-99c9-5d2a9bbd37a6.OrganizationEdit.8d0f226b-66f1-4814-aa28-73b2e3d906ed</DisplayName>
        <AccountId>1293</AccountId>
        <AccountType/>
      </UserInfo>
      <UserInfo>
        <DisplayName>Sandra Eileen Davenport</DisplayName>
        <AccountId>18</AccountId>
        <AccountType/>
      </UserInfo>
      <UserInfo>
        <DisplayName>Jeanette Murry</DisplayName>
        <AccountId>16</AccountId>
        <AccountType/>
      </UserInfo>
      <UserInfo>
        <DisplayName>SharingLinks.567739c6-6161-48c7-9975-8b1315c31d4d.OrganizationEdit.f99db07a-7b86-414a-84fe-c83cc0810560</DisplayName>
        <AccountId>578</AccountId>
        <AccountType/>
      </UserInfo>
      <UserInfo>
        <DisplayName>SharingLinks.dd4ebc6a-8c05-4d51-b7c0-1a2d55077768.OrganizationEdit.63b7f4db-f549-45a7-9023-16caad146c9e</DisplayName>
        <AccountId>581</AccountId>
        <AccountType/>
      </UserInfo>
      <UserInfo>
        <DisplayName>William Stanley Mulhern</DisplayName>
        <AccountId>17</AccountId>
        <AccountType/>
      </UserInfo>
      <UserInfo>
        <DisplayName>SharingLinks.7cc70ebe-9901-46a9-9967-28fe23ef60c3.Flexible.8880cf86-9c73-4476-8841-32c62e766855</DisplayName>
        <AccountId>1295</AccountId>
        <AccountType/>
      </UserInfo>
      <UserInfo>
        <DisplayName>SharingLinks.9fcfed13-323d-43cd-8441-79a761095d5e.Flexible.080dac0e-bedc-41d8-9ee7-2d8ebcf87637</DisplayName>
        <AccountId>1296</AccountId>
        <AccountType/>
      </UserInfo>
      <UserInfo>
        <DisplayName>David Groves</DisplayName>
        <AccountId>884</AccountId>
        <AccountType/>
      </UserInfo>
      <UserInfo>
        <DisplayName>Samuel John Fargher</DisplayName>
        <AccountId>37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B499ED3C239446A5F13472B372EA6B" ma:contentTypeVersion="12" ma:contentTypeDescription="Create a new document." ma:contentTypeScope="" ma:versionID="f77c32b8ffe58913e6ef1309580bba62">
  <xsd:schema xmlns:xsd="http://www.w3.org/2001/XMLSchema" xmlns:xs="http://www.w3.org/2001/XMLSchema" xmlns:p="http://schemas.microsoft.com/office/2006/metadata/properties" xmlns:ns2="1749d088-eb8c-44ef-8763-aa7a721fda93" xmlns:ns3="2bc455b3-dbe8-4f42-8b1b-eb51b92e635e" targetNamespace="http://schemas.microsoft.com/office/2006/metadata/properties" ma:root="true" ma:fieldsID="117e029fa01f248a182bca26f062aaed" ns2:_="" ns3:_="">
    <xsd:import namespace="1749d088-eb8c-44ef-8763-aa7a721fda93"/>
    <xsd:import namespace="2bc455b3-dbe8-4f42-8b1b-eb51b92e63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9d088-eb8c-44ef-8763-aa7a721fd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c455b3-dbe8-4f42-8b1b-eb51b92e63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3A4453-E5C2-46C2-BBEF-750CA63EC98E}">
  <ds:schemaRefs>
    <ds:schemaRef ds:uri="http://schemas.microsoft.com/sharepoint/v3/contenttype/forms"/>
  </ds:schemaRefs>
</ds:datastoreItem>
</file>

<file path=customXml/itemProps2.xml><?xml version="1.0" encoding="utf-8"?>
<ds:datastoreItem xmlns:ds="http://schemas.openxmlformats.org/officeDocument/2006/customXml" ds:itemID="{2AAF58CC-62D8-4EB2-B7F5-02C032066521}">
  <ds:schemaRefs>
    <ds:schemaRef ds:uri="http://schemas.openxmlformats.org/officeDocument/2006/bibliography"/>
  </ds:schemaRefs>
</ds:datastoreItem>
</file>

<file path=customXml/itemProps3.xml><?xml version="1.0" encoding="utf-8"?>
<ds:datastoreItem xmlns:ds="http://schemas.openxmlformats.org/officeDocument/2006/customXml" ds:itemID="{C06618D2-8E1E-4AE0-99F0-8D8C451232F9}">
  <ds:schemaRefs>
    <ds:schemaRef ds:uri="http://schemas.microsoft.com/office/2006/metadata/properties"/>
    <ds:schemaRef ds:uri="http://schemas.microsoft.com/office/infopath/2007/PartnerControls"/>
    <ds:schemaRef ds:uri="1749d088-eb8c-44ef-8763-aa7a721fda93"/>
    <ds:schemaRef ds:uri="2bc455b3-dbe8-4f42-8b1b-eb51b92e635e"/>
  </ds:schemaRefs>
</ds:datastoreItem>
</file>

<file path=customXml/itemProps4.xml><?xml version="1.0" encoding="utf-8"?>
<ds:datastoreItem xmlns:ds="http://schemas.openxmlformats.org/officeDocument/2006/customXml" ds:itemID="{8AB977E8-4482-4861-B374-DCD7140E4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9d088-eb8c-44ef-8763-aa7a721fda93"/>
    <ds:schemaRef ds:uri="2bc455b3-dbe8-4f42-8b1b-eb51b92e6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5420</Words>
  <Characters>30900</Characters>
  <Application>Microsoft Office Word</Application>
  <DocSecurity>4</DocSecurity>
  <Lines>257</Lines>
  <Paragraphs>72</Paragraphs>
  <ScaleCrop>false</ScaleCrop>
  <Company>WBG</Company>
  <LinksUpToDate>false</LinksUpToDate>
  <CharactersWithSpaces>36248</CharactersWithSpaces>
  <SharedDoc>false</SharedDoc>
  <HLinks>
    <vt:vector size="48" baseType="variant">
      <vt:variant>
        <vt:i4>2162814</vt:i4>
      </vt:variant>
      <vt:variant>
        <vt:i4>18</vt:i4>
      </vt:variant>
      <vt:variant>
        <vt:i4>0</vt:i4>
      </vt:variant>
      <vt:variant>
        <vt:i4>5</vt:i4>
      </vt:variant>
      <vt:variant>
        <vt:lpwstr>https://doi.org/10.59117/20.500.11822/43922</vt:lpwstr>
      </vt:variant>
      <vt:variant>
        <vt:lpwstr/>
      </vt:variant>
      <vt:variant>
        <vt:i4>3801132</vt:i4>
      </vt:variant>
      <vt:variant>
        <vt:i4>15</vt:i4>
      </vt:variant>
      <vt:variant>
        <vt:i4>0</vt:i4>
      </vt:variant>
      <vt:variant>
        <vt:i4>5</vt:i4>
      </vt:variant>
      <vt:variant>
        <vt:lpwstr>https://www.ipcc-nggip.iges.or.jp/public/2006gl/index.html</vt:lpwstr>
      </vt:variant>
      <vt:variant>
        <vt:lpwstr/>
      </vt:variant>
      <vt:variant>
        <vt:i4>7143474</vt:i4>
      </vt:variant>
      <vt:variant>
        <vt:i4>12</vt:i4>
      </vt:variant>
      <vt:variant>
        <vt:i4>0</vt:i4>
      </vt:variant>
      <vt:variant>
        <vt:i4>5</vt:i4>
      </vt:variant>
      <vt:variant>
        <vt:lpwstr>https://zenodo.org/records/7650360</vt:lpwstr>
      </vt:variant>
      <vt:variant>
        <vt:lpwstr/>
      </vt:variant>
      <vt:variant>
        <vt:i4>3670049</vt:i4>
      </vt:variant>
      <vt:variant>
        <vt:i4>9</vt:i4>
      </vt:variant>
      <vt:variant>
        <vt:i4>0</vt:i4>
      </vt:variant>
      <vt:variant>
        <vt:i4>5</vt:i4>
      </vt:variant>
      <vt:variant>
        <vt:lpwstr>https://essd.copernicus.org/articles/14/4643/2022/</vt:lpwstr>
      </vt:variant>
      <vt:variant>
        <vt:lpwstr/>
      </vt:variant>
      <vt:variant>
        <vt:i4>2687036</vt:i4>
      </vt:variant>
      <vt:variant>
        <vt:i4>6</vt:i4>
      </vt:variant>
      <vt:variant>
        <vt:i4>0</vt:i4>
      </vt:variant>
      <vt:variant>
        <vt:i4>5</vt:i4>
      </vt:variant>
      <vt:variant>
        <vt:lpwstr>https://www.fao.org/faostat</vt:lpwstr>
      </vt:variant>
      <vt:variant>
        <vt:lpwstr/>
      </vt:variant>
      <vt:variant>
        <vt:i4>1179709</vt:i4>
      </vt:variant>
      <vt:variant>
        <vt:i4>3</vt:i4>
      </vt:variant>
      <vt:variant>
        <vt:i4>0</vt:i4>
      </vt:variant>
      <vt:variant>
        <vt:i4>5</vt:i4>
      </vt:variant>
      <vt:variant>
        <vt:lpwstr>https://edgar.jrc.ec.europa.eu/report_2024</vt:lpwstr>
      </vt:variant>
      <vt:variant>
        <vt:lpwstr/>
      </vt:variant>
      <vt:variant>
        <vt:i4>28</vt:i4>
      </vt:variant>
      <vt:variant>
        <vt:i4>0</vt:i4>
      </vt:variant>
      <vt:variant>
        <vt:i4>0</vt:i4>
      </vt:variant>
      <vt:variant>
        <vt:i4>5</vt:i4>
      </vt:variant>
      <vt:variant>
        <vt:lpwstr>https://sdgs.un.org/</vt:lpwstr>
      </vt:variant>
      <vt:variant>
        <vt:lpwstr/>
      </vt:variant>
      <vt:variant>
        <vt:i4>1179709</vt:i4>
      </vt:variant>
      <vt:variant>
        <vt:i4>0</vt:i4>
      </vt:variant>
      <vt:variant>
        <vt:i4>0</vt:i4>
      </vt:variant>
      <vt:variant>
        <vt:i4>5</vt:i4>
      </vt:variant>
      <vt:variant>
        <vt:lpwstr>https://edgar.jrc.ec.europa.eu/report_2024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Espen Bernton</dc:creator>
  <cp:keywords/>
  <dc:description/>
  <cp:lastModifiedBy>David Groves</cp:lastModifiedBy>
  <cp:revision>98</cp:revision>
  <cp:lastPrinted>2024-02-08T03:38:00Z</cp:lastPrinted>
  <dcterms:created xsi:type="dcterms:W3CDTF">2025-03-12T18:12:00Z</dcterms:created>
  <dcterms:modified xsi:type="dcterms:W3CDTF">2025-04-07T20:38:00Z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0x01010036B499ED3C239446A5F13472B372EA6B</vt:lpwstr>
  </property>
  <property fmtid="{D5CDD505-2E9C-101B-9397-08002B2CF9AE}" pid="3" name="ifc_business_unit">
    <vt:lpwstr/>
  </property>
  <property fmtid="{D5CDD505-2E9C-101B-9397-08002B2CF9AE}" pid="4" name="MediaServiceImageTags">
    <vt:lpwstr/>
  </property>
  <property fmtid="{D5CDD505-2E9C-101B-9397-08002B2CF9AE}" pid="5" name="lcf76f155ced4ddcb4097134ff3c332f">
    <vt:lpwstr/>
  </property>
  <property fmtid="{D5CDD505-2E9C-101B-9397-08002B2CF9AE}" pid="6" name="SharedWithUsers">
    <vt:lpwstr>1287;#Diego Carrillo;#1288;#Hiroyuki Hatashima;#1289;#Vlajko Senic;#1290;#Espen Bernton;#1291;#Ariya Hagh;#1292;#Devika Saini;#1293;#Marianne Mae Gomez Chan;#18;#Kathy Z. Guanzon;#16;#Saikantha L. Raparla;#578;#Alan Lukoma;#581;#Dongquan Shen;#17;#Manjula K. Nettikumara;#1295;#Moritz Nikolaus Nebe;#1296;#Merli Margaret Baroudi</vt:lpwstr>
  </property>
</Properties>
</file>