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6CF" w14:textId="5947F220" w:rsidR="00F864C5" w:rsidRDefault="00107B25" w:rsidP="00107B25">
      <w:p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</w:rPr>
      </w:pPr>
      <w:r w:rsidRPr="00B71F7B">
        <w:rPr>
          <w:rFonts w:ascii="Open Sans" w:hAnsi="Open Sans" w:cs="Open Sans"/>
          <w:b/>
          <w:bCs/>
          <w:color w:val="333333"/>
          <w:sz w:val="27"/>
          <w:szCs w:val="27"/>
        </w:rPr>
        <w:t xml:space="preserve">Greenhouse Gas Emissions Indicators: </w:t>
      </w:r>
      <w:r w:rsidR="00C46015">
        <w:rPr>
          <w:rFonts w:ascii="Open Sans" w:hAnsi="Open Sans" w:cs="Open Sans"/>
          <w:color w:val="333333"/>
          <w:sz w:val="27"/>
          <w:szCs w:val="27"/>
        </w:rPr>
        <w:t xml:space="preserve">This WDI update includes </w:t>
      </w:r>
      <w:r w:rsidR="00201953">
        <w:rPr>
          <w:rFonts w:ascii="Open Sans" w:hAnsi="Open Sans" w:cs="Open Sans"/>
          <w:color w:val="333333"/>
          <w:sz w:val="27"/>
          <w:szCs w:val="27"/>
        </w:rPr>
        <w:t>4</w:t>
      </w:r>
      <w:r w:rsidR="00FA68B0">
        <w:rPr>
          <w:rFonts w:ascii="Open Sans" w:hAnsi="Open Sans" w:cs="Open Sans"/>
          <w:color w:val="333333"/>
          <w:sz w:val="27"/>
          <w:szCs w:val="27"/>
        </w:rPr>
        <w:t>4</w:t>
      </w:r>
      <w:r w:rsidR="00C46015">
        <w:rPr>
          <w:rFonts w:ascii="Open Sans" w:hAnsi="Open Sans" w:cs="Open Sans"/>
          <w:color w:val="333333"/>
          <w:sz w:val="27"/>
          <w:szCs w:val="27"/>
        </w:rPr>
        <w:t xml:space="preserve"> </w:t>
      </w:r>
      <w:r w:rsidR="000E4351">
        <w:rPr>
          <w:rFonts w:ascii="Open Sans" w:hAnsi="Open Sans" w:cs="Open Sans"/>
          <w:color w:val="333333"/>
          <w:sz w:val="27"/>
          <w:szCs w:val="27"/>
        </w:rPr>
        <w:t xml:space="preserve">new </w:t>
      </w:r>
      <w:r w:rsidR="00C12A4D">
        <w:rPr>
          <w:rFonts w:ascii="Open Sans" w:hAnsi="Open Sans" w:cs="Open Sans"/>
          <w:color w:val="333333"/>
          <w:sz w:val="27"/>
          <w:szCs w:val="27"/>
        </w:rPr>
        <w:t xml:space="preserve">greenhouse gas (GHG) </w:t>
      </w:r>
      <w:r w:rsidR="000E4351">
        <w:rPr>
          <w:rFonts w:ascii="Open Sans" w:hAnsi="Open Sans" w:cs="Open Sans"/>
          <w:color w:val="333333"/>
          <w:sz w:val="27"/>
          <w:szCs w:val="27"/>
        </w:rPr>
        <w:t>emissions indicators.</w:t>
      </w:r>
      <w:r w:rsidR="00F2624D">
        <w:rPr>
          <w:rFonts w:ascii="Open Sans" w:hAnsi="Open Sans" w:cs="Open Sans"/>
          <w:color w:val="333333"/>
          <w:sz w:val="27"/>
          <w:szCs w:val="27"/>
        </w:rPr>
        <w:t xml:space="preserve"> </w:t>
      </w:r>
      <w:r w:rsidR="003473B8">
        <w:rPr>
          <w:rFonts w:ascii="Open Sans" w:hAnsi="Open Sans" w:cs="Open Sans"/>
          <w:color w:val="333333"/>
          <w:sz w:val="27"/>
          <w:szCs w:val="27"/>
        </w:rPr>
        <w:t>The new</w:t>
      </w:r>
      <w:r w:rsidR="004F54A7">
        <w:rPr>
          <w:rFonts w:ascii="Open Sans" w:hAnsi="Open Sans" w:cs="Open Sans"/>
          <w:color w:val="333333"/>
          <w:sz w:val="27"/>
          <w:szCs w:val="27"/>
        </w:rPr>
        <w:t xml:space="preserve"> indicators cover</w:t>
      </w:r>
      <w:r w:rsidR="006F050A" w:rsidRPr="006F050A">
        <w:rPr>
          <w:rFonts w:ascii="Open Sans" w:hAnsi="Open Sans" w:cs="Open Sans"/>
          <w:color w:val="333333"/>
          <w:sz w:val="27"/>
          <w:szCs w:val="27"/>
        </w:rPr>
        <w:t xml:space="preserve"> </w:t>
      </w:r>
      <w:r w:rsidR="006F050A">
        <w:rPr>
          <w:rFonts w:ascii="Open Sans" w:hAnsi="Open Sans" w:cs="Open Sans"/>
          <w:color w:val="333333"/>
          <w:sz w:val="27"/>
          <w:szCs w:val="27"/>
        </w:rPr>
        <w:t xml:space="preserve">the </w:t>
      </w:r>
      <w:r w:rsidR="00CE2E47">
        <w:rPr>
          <w:rFonts w:ascii="Open Sans" w:hAnsi="Open Sans" w:cs="Open Sans"/>
          <w:color w:val="333333"/>
          <w:sz w:val="27"/>
          <w:szCs w:val="27"/>
        </w:rPr>
        <w:t>annual</w:t>
      </w:r>
      <w:r w:rsidR="00F864C5">
        <w:rPr>
          <w:rFonts w:ascii="Open Sans" w:hAnsi="Open Sans" w:cs="Open Sans"/>
          <w:color w:val="333333"/>
          <w:sz w:val="27"/>
          <w:szCs w:val="27"/>
        </w:rPr>
        <w:t xml:space="preserve"> </w:t>
      </w:r>
      <w:r w:rsidR="00CE2E47">
        <w:rPr>
          <w:rFonts w:ascii="Open Sans" w:hAnsi="Open Sans" w:cs="Open Sans"/>
          <w:color w:val="333333"/>
          <w:sz w:val="27"/>
          <w:szCs w:val="27"/>
        </w:rPr>
        <w:t>emissions</w:t>
      </w:r>
      <w:r w:rsidR="00F864C5">
        <w:rPr>
          <w:rFonts w:ascii="Open Sans" w:hAnsi="Open Sans" w:cs="Open Sans"/>
          <w:color w:val="333333"/>
          <w:sz w:val="27"/>
          <w:szCs w:val="27"/>
        </w:rPr>
        <w:t xml:space="preserve"> of greenhouse gases included in</w:t>
      </w:r>
      <w:r w:rsidR="005D5290">
        <w:rPr>
          <w:rFonts w:ascii="Open Sans" w:hAnsi="Open Sans" w:cs="Open Sans"/>
          <w:color w:val="333333"/>
          <w:sz w:val="27"/>
          <w:szCs w:val="27"/>
        </w:rPr>
        <w:t xml:space="preserve"> the Kyoto protocol and are </w:t>
      </w:r>
      <w:r w:rsidR="00327329">
        <w:rPr>
          <w:rFonts w:ascii="Open Sans" w:hAnsi="Open Sans" w:cs="Open Sans"/>
          <w:color w:val="333333"/>
          <w:sz w:val="27"/>
          <w:szCs w:val="27"/>
        </w:rPr>
        <w:t xml:space="preserve">disaggregated by gas (carbon dioxide (CO2), methane (CH4), nitrous oxide (N2O) and </w:t>
      </w:r>
      <w:r w:rsidR="00201953" w:rsidRPr="00201953">
        <w:rPr>
          <w:rFonts w:ascii="Open Sans" w:hAnsi="Open Sans" w:cs="Open Sans"/>
          <w:color w:val="333333"/>
          <w:sz w:val="27"/>
          <w:szCs w:val="27"/>
        </w:rPr>
        <w:t>fluorinated </w:t>
      </w:r>
      <w:r w:rsidR="00327329">
        <w:rPr>
          <w:rFonts w:ascii="Open Sans" w:hAnsi="Open Sans" w:cs="Open Sans"/>
          <w:color w:val="333333"/>
          <w:sz w:val="27"/>
          <w:szCs w:val="27"/>
        </w:rPr>
        <w:t>gases</w:t>
      </w:r>
      <w:r w:rsidR="00035AB1">
        <w:rPr>
          <w:rFonts w:ascii="Open Sans" w:hAnsi="Open Sans" w:cs="Open Sans"/>
          <w:color w:val="333333"/>
          <w:sz w:val="27"/>
          <w:szCs w:val="27"/>
        </w:rPr>
        <w:t xml:space="preserve">) as well as by sector (agriculture, energy (building, fugitive emissions, industrial combustion, </w:t>
      </w:r>
      <w:r w:rsidR="006B0F26">
        <w:rPr>
          <w:rFonts w:ascii="Open Sans" w:hAnsi="Open Sans" w:cs="Open Sans"/>
          <w:color w:val="333333"/>
          <w:sz w:val="27"/>
          <w:szCs w:val="27"/>
        </w:rPr>
        <w:t xml:space="preserve">power industry), industrial processes, </w:t>
      </w:r>
      <w:r w:rsidR="00AC0D0E">
        <w:rPr>
          <w:rFonts w:ascii="Open Sans" w:hAnsi="Open Sans" w:cs="Open Sans"/>
          <w:color w:val="333333"/>
          <w:sz w:val="27"/>
          <w:szCs w:val="27"/>
        </w:rPr>
        <w:t>transport,</w:t>
      </w:r>
      <w:r w:rsidR="006B0F26">
        <w:rPr>
          <w:rFonts w:ascii="Open Sans" w:hAnsi="Open Sans" w:cs="Open Sans"/>
          <w:color w:val="333333"/>
          <w:sz w:val="27"/>
          <w:szCs w:val="27"/>
        </w:rPr>
        <w:t xml:space="preserve"> and waste. </w:t>
      </w:r>
      <w:r w:rsidR="00AD66D4">
        <w:rPr>
          <w:rFonts w:ascii="Open Sans" w:hAnsi="Open Sans" w:cs="Open Sans"/>
          <w:color w:val="333333"/>
          <w:sz w:val="27"/>
          <w:szCs w:val="27"/>
        </w:rPr>
        <w:t>The</w:t>
      </w:r>
      <w:r w:rsidR="00682E49">
        <w:rPr>
          <w:rFonts w:ascii="Open Sans" w:hAnsi="Open Sans" w:cs="Open Sans"/>
          <w:color w:val="333333"/>
          <w:sz w:val="27"/>
          <w:szCs w:val="27"/>
        </w:rPr>
        <w:t xml:space="preserve"> data </w:t>
      </w:r>
      <w:r w:rsidR="00461685">
        <w:rPr>
          <w:rFonts w:ascii="Open Sans" w:hAnsi="Open Sans" w:cs="Open Sans"/>
          <w:color w:val="333333"/>
          <w:sz w:val="27"/>
          <w:szCs w:val="27"/>
        </w:rPr>
        <w:t xml:space="preserve">for the new emissions indicators is sourced from </w:t>
      </w:r>
      <w:r w:rsidR="00833ED9">
        <w:rPr>
          <w:rFonts w:ascii="Open Sans" w:hAnsi="Open Sans" w:cs="Open Sans"/>
          <w:color w:val="333333"/>
          <w:sz w:val="27"/>
          <w:szCs w:val="27"/>
        </w:rPr>
        <w:t xml:space="preserve">the </w:t>
      </w:r>
      <w:hyperlink r:id="rId7" w:history="1">
        <w:r w:rsidR="00833ED9">
          <w:rPr>
            <w:rStyle w:val="Hyperlink"/>
            <w:rFonts w:ascii="Open Sans" w:hAnsi="Open Sans" w:cs="Open Sans"/>
            <w:sz w:val="27"/>
            <w:szCs w:val="27"/>
          </w:rPr>
          <w:t>EDGARv8.0</w:t>
        </w:r>
      </w:hyperlink>
      <w:r w:rsidR="00833ED9">
        <w:rPr>
          <w:rFonts w:ascii="Open Sans" w:hAnsi="Open Sans" w:cs="Open Sans"/>
          <w:color w:val="333333"/>
          <w:sz w:val="27"/>
          <w:szCs w:val="27"/>
        </w:rPr>
        <w:t xml:space="preserve"> database, which </w:t>
      </w:r>
      <w:r w:rsidR="00C07D8F">
        <w:rPr>
          <w:rFonts w:ascii="Open Sans" w:hAnsi="Open Sans" w:cs="Open Sans"/>
          <w:color w:val="333333"/>
          <w:sz w:val="27"/>
          <w:szCs w:val="27"/>
        </w:rPr>
        <w:t xml:space="preserve">is published </w:t>
      </w:r>
      <w:r w:rsidR="00032C8B">
        <w:rPr>
          <w:rFonts w:ascii="Open Sans" w:hAnsi="Open Sans" w:cs="Open Sans"/>
          <w:color w:val="333333"/>
          <w:sz w:val="27"/>
          <w:szCs w:val="27"/>
        </w:rPr>
        <w:t xml:space="preserve">by </w:t>
      </w:r>
      <w:r w:rsidR="00545A90">
        <w:rPr>
          <w:rFonts w:ascii="Open Sans" w:hAnsi="Open Sans" w:cs="Open Sans"/>
          <w:color w:val="333333"/>
          <w:sz w:val="27"/>
          <w:szCs w:val="27"/>
        </w:rPr>
        <w:t>the European Commission’s Joint Research Center (JRC)</w:t>
      </w:r>
      <w:r w:rsidR="00032C8B">
        <w:rPr>
          <w:rFonts w:ascii="Open Sans" w:hAnsi="Open Sans" w:cs="Open Sans"/>
          <w:color w:val="333333"/>
          <w:sz w:val="27"/>
          <w:szCs w:val="27"/>
        </w:rPr>
        <w:t xml:space="preserve"> and </w:t>
      </w:r>
      <w:r w:rsidR="00433547">
        <w:rPr>
          <w:rFonts w:ascii="Open Sans" w:hAnsi="Open Sans" w:cs="Open Sans"/>
          <w:color w:val="333333"/>
          <w:sz w:val="27"/>
          <w:szCs w:val="27"/>
        </w:rPr>
        <w:t>is estimated using</w:t>
      </w:r>
      <w:r w:rsidR="00032C8B">
        <w:rPr>
          <w:rFonts w:ascii="Open Sans" w:hAnsi="Open Sans" w:cs="Open Sans"/>
          <w:color w:val="333333"/>
          <w:sz w:val="27"/>
          <w:szCs w:val="27"/>
        </w:rPr>
        <w:t xml:space="preserve"> data from several sources including </w:t>
      </w:r>
      <w:r w:rsidR="005B5980">
        <w:rPr>
          <w:rFonts w:ascii="Open Sans" w:hAnsi="Open Sans" w:cs="Open Sans"/>
          <w:color w:val="333333"/>
          <w:sz w:val="27"/>
          <w:szCs w:val="27"/>
        </w:rPr>
        <w:t xml:space="preserve">the </w:t>
      </w:r>
      <w:r w:rsidR="00032C8B">
        <w:rPr>
          <w:rFonts w:ascii="Open Sans" w:hAnsi="Open Sans" w:cs="Open Sans"/>
          <w:color w:val="333333"/>
          <w:sz w:val="27"/>
          <w:szCs w:val="27"/>
        </w:rPr>
        <w:t>Inter</w:t>
      </w:r>
      <w:r w:rsidR="00545A90">
        <w:rPr>
          <w:rFonts w:ascii="Open Sans" w:hAnsi="Open Sans" w:cs="Open Sans"/>
          <w:color w:val="333333"/>
          <w:sz w:val="27"/>
          <w:szCs w:val="27"/>
        </w:rPr>
        <w:t>national Energy Agency (IEA).</w:t>
      </w:r>
      <w:r w:rsidR="00433547">
        <w:rPr>
          <w:rFonts w:ascii="Open Sans" w:hAnsi="Open Sans" w:cs="Open Sans"/>
          <w:color w:val="333333"/>
          <w:sz w:val="27"/>
          <w:szCs w:val="27"/>
        </w:rPr>
        <w:t xml:space="preserve"> </w:t>
      </w:r>
      <w:r w:rsidR="003473B8">
        <w:rPr>
          <w:rFonts w:ascii="Open Sans" w:hAnsi="Open Sans" w:cs="Open Sans"/>
          <w:color w:val="333333"/>
          <w:sz w:val="27"/>
          <w:szCs w:val="27"/>
        </w:rPr>
        <w:t xml:space="preserve"> </w:t>
      </w:r>
      <w:r w:rsidR="00433547">
        <w:rPr>
          <w:rFonts w:ascii="Open Sans" w:hAnsi="Open Sans" w:cs="Open Sans"/>
          <w:color w:val="333333"/>
          <w:sz w:val="27"/>
          <w:szCs w:val="27"/>
        </w:rPr>
        <w:t xml:space="preserve">The data </w:t>
      </w:r>
      <w:r w:rsidR="00F34B74">
        <w:rPr>
          <w:rFonts w:ascii="Open Sans" w:hAnsi="Open Sans" w:cs="Open Sans"/>
          <w:color w:val="333333"/>
          <w:sz w:val="27"/>
          <w:szCs w:val="27"/>
        </w:rPr>
        <w:t xml:space="preserve">are harmonized using </w:t>
      </w:r>
      <w:r w:rsidR="00F34B74" w:rsidRPr="00433547">
        <w:rPr>
          <w:rFonts w:ascii="Open Sans" w:hAnsi="Open Sans" w:cs="Open Sans"/>
          <w:color w:val="333333"/>
          <w:sz w:val="27"/>
          <w:szCs w:val="27"/>
        </w:rPr>
        <w:t>a consistent Intergovernmental Panel on Climate Change (IPCC) methodology</w:t>
      </w:r>
      <w:r w:rsidR="00F34B74">
        <w:rPr>
          <w:rFonts w:ascii="Open Sans" w:hAnsi="Open Sans" w:cs="Open Sans"/>
          <w:color w:val="333333"/>
          <w:sz w:val="27"/>
          <w:szCs w:val="27"/>
        </w:rPr>
        <w:t>, which allows for comparison across countries as well as sectors.</w:t>
      </w:r>
      <w:r w:rsidR="005C77DF">
        <w:rPr>
          <w:rFonts w:ascii="Open Sans" w:hAnsi="Open Sans" w:cs="Open Sans"/>
          <w:color w:val="333333"/>
          <w:sz w:val="27"/>
          <w:szCs w:val="27"/>
        </w:rPr>
        <w:t xml:space="preserve"> The database covers annual emissions data until 202</w:t>
      </w:r>
      <w:r w:rsidR="00B70B2B">
        <w:rPr>
          <w:rFonts w:ascii="Open Sans" w:hAnsi="Open Sans" w:cs="Open Sans"/>
          <w:color w:val="333333"/>
          <w:sz w:val="27"/>
          <w:szCs w:val="27"/>
        </w:rPr>
        <w:t>2 and has an annual update cycle (next update with 2023 data expected by the end of 2024).</w:t>
      </w:r>
      <w:r w:rsidR="003431CE">
        <w:rPr>
          <w:rFonts w:ascii="Open Sans" w:hAnsi="Open Sans" w:cs="Open Sans"/>
          <w:color w:val="333333"/>
          <w:sz w:val="27"/>
          <w:szCs w:val="27"/>
        </w:rPr>
        <w:t xml:space="preserve"> The </w:t>
      </w:r>
      <w:r w:rsidR="00CF57A0">
        <w:rPr>
          <w:rFonts w:ascii="Open Sans" w:hAnsi="Open Sans" w:cs="Open Sans"/>
          <w:color w:val="333333"/>
          <w:sz w:val="27"/>
          <w:szCs w:val="27"/>
        </w:rPr>
        <w:t xml:space="preserve">data </w:t>
      </w:r>
      <w:r w:rsidR="00C31C25">
        <w:rPr>
          <w:rFonts w:ascii="Open Sans" w:hAnsi="Open Sans" w:cs="Open Sans"/>
          <w:color w:val="333333"/>
          <w:sz w:val="27"/>
          <w:szCs w:val="27"/>
        </w:rPr>
        <w:t xml:space="preserve">is </w:t>
      </w:r>
      <w:r w:rsidR="00C31C25" w:rsidRPr="006F050A">
        <w:rPr>
          <w:rFonts w:ascii="Open Sans" w:hAnsi="Open Sans" w:cs="Open Sans"/>
          <w:color w:val="333333"/>
          <w:sz w:val="27"/>
          <w:szCs w:val="27"/>
        </w:rPr>
        <w:t>standardized to carbon dioxide equivalent value</w:t>
      </w:r>
      <w:r w:rsidR="00C31C25">
        <w:rPr>
          <w:rFonts w:ascii="Open Sans" w:hAnsi="Open Sans" w:cs="Open Sans"/>
          <w:color w:val="333333"/>
          <w:sz w:val="27"/>
          <w:szCs w:val="27"/>
        </w:rPr>
        <w:t xml:space="preserve">s </w:t>
      </w:r>
      <w:r w:rsidR="00CF57A0">
        <w:rPr>
          <w:rFonts w:ascii="Open Sans" w:hAnsi="Open Sans" w:cs="Open Sans"/>
          <w:color w:val="333333"/>
          <w:sz w:val="27"/>
          <w:szCs w:val="27"/>
        </w:rPr>
        <w:t>us</w:t>
      </w:r>
      <w:r w:rsidR="00C31C25">
        <w:rPr>
          <w:rFonts w:ascii="Open Sans" w:hAnsi="Open Sans" w:cs="Open Sans"/>
          <w:color w:val="333333"/>
          <w:sz w:val="27"/>
          <w:szCs w:val="27"/>
        </w:rPr>
        <w:t>ing</w:t>
      </w:r>
      <w:r w:rsidR="00CF57A0">
        <w:rPr>
          <w:rFonts w:ascii="Open Sans" w:hAnsi="Open Sans" w:cs="Open Sans"/>
          <w:color w:val="333333"/>
          <w:sz w:val="27"/>
          <w:szCs w:val="27"/>
        </w:rPr>
        <w:t xml:space="preserve"> the </w:t>
      </w:r>
      <w:r w:rsidR="00D14724">
        <w:rPr>
          <w:rFonts w:ascii="Open Sans" w:hAnsi="Open Sans" w:cs="Open Sans"/>
          <w:color w:val="333333"/>
          <w:sz w:val="27"/>
          <w:szCs w:val="27"/>
        </w:rPr>
        <w:t xml:space="preserve">latest </w:t>
      </w:r>
      <w:r w:rsidR="00CF57A0">
        <w:rPr>
          <w:rFonts w:ascii="Open Sans" w:hAnsi="Open Sans" w:cs="Open Sans"/>
          <w:color w:val="333333"/>
          <w:sz w:val="27"/>
          <w:szCs w:val="27"/>
        </w:rPr>
        <w:t xml:space="preserve">global warming potential (GWP) </w:t>
      </w:r>
      <w:r w:rsidR="009427F0">
        <w:rPr>
          <w:rFonts w:ascii="Open Sans" w:hAnsi="Open Sans" w:cs="Open Sans"/>
          <w:color w:val="333333"/>
          <w:sz w:val="27"/>
          <w:szCs w:val="27"/>
        </w:rPr>
        <w:t>values</w:t>
      </w:r>
      <w:r w:rsidR="00CF57A0">
        <w:rPr>
          <w:rFonts w:ascii="Open Sans" w:hAnsi="Open Sans" w:cs="Open Sans"/>
          <w:color w:val="333333"/>
          <w:sz w:val="27"/>
          <w:szCs w:val="27"/>
        </w:rPr>
        <w:t xml:space="preserve"> from</w:t>
      </w:r>
      <w:r w:rsidR="009427F0">
        <w:rPr>
          <w:rFonts w:ascii="Open Sans" w:hAnsi="Open Sans" w:cs="Open Sans"/>
          <w:color w:val="333333"/>
          <w:sz w:val="27"/>
          <w:szCs w:val="27"/>
        </w:rPr>
        <w:t xml:space="preserve"> the</w:t>
      </w:r>
      <w:r w:rsidR="00CF57A0">
        <w:rPr>
          <w:rFonts w:ascii="Open Sans" w:hAnsi="Open Sans" w:cs="Open Sans"/>
          <w:color w:val="333333"/>
          <w:sz w:val="27"/>
          <w:szCs w:val="27"/>
        </w:rPr>
        <w:t xml:space="preserve"> </w:t>
      </w:r>
      <w:r w:rsidR="00D14724">
        <w:rPr>
          <w:rFonts w:ascii="Open Sans" w:hAnsi="Open Sans" w:cs="Open Sans"/>
          <w:color w:val="333333"/>
          <w:sz w:val="27"/>
          <w:szCs w:val="27"/>
        </w:rPr>
        <w:t xml:space="preserve">IPCC’s </w:t>
      </w:r>
      <w:r w:rsidR="009427F0" w:rsidRPr="009427F0">
        <w:rPr>
          <w:rFonts w:ascii="Open Sans" w:hAnsi="Open Sans" w:cs="Open Sans"/>
          <w:color w:val="333333"/>
          <w:sz w:val="27"/>
          <w:szCs w:val="27"/>
        </w:rPr>
        <w:t xml:space="preserve">Fifth Assessment Report (AR5), </w:t>
      </w:r>
      <w:r w:rsidR="009427F0">
        <w:rPr>
          <w:rFonts w:ascii="Open Sans" w:hAnsi="Open Sans" w:cs="Open Sans"/>
          <w:color w:val="333333"/>
          <w:sz w:val="27"/>
          <w:szCs w:val="27"/>
        </w:rPr>
        <w:t xml:space="preserve">which was </w:t>
      </w:r>
      <w:r w:rsidR="009427F0" w:rsidRPr="009427F0">
        <w:rPr>
          <w:rFonts w:ascii="Open Sans" w:hAnsi="Open Sans" w:cs="Open Sans"/>
          <w:color w:val="333333"/>
          <w:sz w:val="27"/>
          <w:szCs w:val="27"/>
        </w:rPr>
        <w:t>published in 2013</w:t>
      </w:r>
      <w:r w:rsidR="009427F0">
        <w:rPr>
          <w:rFonts w:ascii="Open Sans" w:hAnsi="Open Sans" w:cs="Open Sans"/>
          <w:color w:val="333333"/>
          <w:sz w:val="27"/>
          <w:szCs w:val="27"/>
        </w:rPr>
        <w:t>.</w:t>
      </w:r>
    </w:p>
    <w:p w14:paraId="50C8CF10" w14:textId="77777777" w:rsidR="00C07D8F" w:rsidRDefault="00C07D8F" w:rsidP="00107B25">
      <w:p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</w:rPr>
      </w:pPr>
    </w:p>
    <w:p w14:paraId="4E6E73A0" w14:textId="7105A5FB" w:rsidR="006D3354" w:rsidRDefault="006D3354" w:rsidP="00107B25">
      <w:p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The</w:t>
      </w:r>
      <w:r w:rsidR="00B70B2B">
        <w:rPr>
          <w:rFonts w:ascii="Open Sans" w:hAnsi="Open Sans" w:cs="Open Sans"/>
          <w:color w:val="333333"/>
          <w:sz w:val="27"/>
          <w:szCs w:val="27"/>
        </w:rPr>
        <w:t xml:space="preserve"> new</w:t>
      </w:r>
      <w:r w:rsidR="007C17F2">
        <w:rPr>
          <w:rFonts w:ascii="Open Sans" w:hAnsi="Open Sans" w:cs="Open Sans"/>
          <w:color w:val="333333"/>
          <w:sz w:val="27"/>
          <w:szCs w:val="27"/>
        </w:rPr>
        <w:t xml:space="preserve"> WDI GHG</w:t>
      </w:r>
      <w:r>
        <w:rPr>
          <w:rFonts w:ascii="Open Sans" w:hAnsi="Open Sans" w:cs="Open Sans"/>
          <w:color w:val="333333"/>
          <w:sz w:val="27"/>
          <w:szCs w:val="27"/>
        </w:rPr>
        <w:t xml:space="preserve"> indicators also include</w:t>
      </w:r>
      <w:r w:rsidR="007C17F2">
        <w:rPr>
          <w:rFonts w:ascii="Open Sans" w:hAnsi="Open Sans" w:cs="Open Sans"/>
          <w:color w:val="333333"/>
          <w:sz w:val="27"/>
          <w:szCs w:val="27"/>
        </w:rPr>
        <w:t xml:space="preserve"> data on</w:t>
      </w:r>
      <w:r>
        <w:rPr>
          <w:rFonts w:ascii="Open Sans" w:hAnsi="Open Sans" w:cs="Open Sans"/>
          <w:color w:val="333333"/>
          <w:sz w:val="27"/>
          <w:szCs w:val="27"/>
        </w:rPr>
        <w:t xml:space="preserve"> carbon fluxes caused by land use, land-use change and forestry (LULUCF), which are disaggregated by </w:t>
      </w:r>
      <w:r w:rsidR="00C12A4D">
        <w:rPr>
          <w:rFonts w:ascii="Open Sans" w:hAnsi="Open Sans" w:cs="Open Sans"/>
          <w:color w:val="333333"/>
          <w:sz w:val="27"/>
          <w:szCs w:val="27"/>
        </w:rPr>
        <w:t xml:space="preserve">four categories: </w:t>
      </w:r>
      <w:r w:rsidR="0049652A">
        <w:rPr>
          <w:rFonts w:ascii="Open Sans" w:hAnsi="Open Sans" w:cs="Open Sans"/>
          <w:color w:val="333333"/>
          <w:sz w:val="27"/>
          <w:szCs w:val="27"/>
        </w:rPr>
        <w:t>deforestation, forest land, organic soil, and other land.</w:t>
      </w:r>
      <w:r w:rsidR="00C12A4D">
        <w:rPr>
          <w:rFonts w:ascii="Open Sans" w:hAnsi="Open Sans" w:cs="Open Sans"/>
          <w:color w:val="333333"/>
          <w:sz w:val="27"/>
          <w:szCs w:val="27"/>
        </w:rPr>
        <w:t xml:space="preserve"> </w:t>
      </w:r>
      <w:r w:rsidR="003473B8">
        <w:rPr>
          <w:rFonts w:ascii="Open Sans" w:hAnsi="Open Sans" w:cs="Open Sans"/>
          <w:color w:val="333333"/>
          <w:sz w:val="27"/>
          <w:szCs w:val="27"/>
        </w:rPr>
        <w:t>The</w:t>
      </w:r>
      <w:r w:rsidR="0049652A">
        <w:rPr>
          <w:rFonts w:ascii="Open Sans" w:hAnsi="Open Sans" w:cs="Open Sans"/>
          <w:color w:val="333333"/>
          <w:sz w:val="27"/>
          <w:szCs w:val="27"/>
        </w:rPr>
        <w:t xml:space="preserve"> country-level </w:t>
      </w:r>
      <w:r w:rsidR="003473B8">
        <w:rPr>
          <w:rFonts w:ascii="Open Sans" w:hAnsi="Open Sans" w:cs="Open Sans"/>
          <w:color w:val="333333"/>
          <w:sz w:val="27"/>
          <w:szCs w:val="27"/>
        </w:rPr>
        <w:t xml:space="preserve">data for the LULUCF </w:t>
      </w:r>
      <w:r w:rsidR="000100E3">
        <w:rPr>
          <w:rFonts w:ascii="Open Sans" w:hAnsi="Open Sans" w:cs="Open Sans"/>
          <w:color w:val="333333"/>
          <w:sz w:val="27"/>
          <w:szCs w:val="27"/>
        </w:rPr>
        <w:t xml:space="preserve">indicators is sourced from </w:t>
      </w:r>
      <w:r w:rsidRPr="006D3354">
        <w:rPr>
          <w:rFonts w:ascii="Open Sans" w:hAnsi="Open Sans" w:cs="Open Sans"/>
          <w:color w:val="333333"/>
          <w:sz w:val="27"/>
          <w:szCs w:val="27"/>
        </w:rPr>
        <w:t xml:space="preserve">a hybrid dataset produced by </w:t>
      </w:r>
      <w:hyperlink r:id="rId8" w:history="1">
        <w:r w:rsidR="00533437">
          <w:rPr>
            <w:rStyle w:val="Hyperlink"/>
            <w:rFonts w:ascii="Open Sans" w:hAnsi="Open Sans" w:cs="Open Sans"/>
            <w:sz w:val="27"/>
            <w:szCs w:val="27"/>
          </w:rPr>
          <w:t>Grassi et al., (2023)</w:t>
        </w:r>
      </w:hyperlink>
      <w:r w:rsidR="00142C3F">
        <w:rPr>
          <w:rFonts w:ascii="Open Sans" w:hAnsi="Open Sans" w:cs="Open Sans"/>
          <w:color w:val="333333"/>
          <w:sz w:val="27"/>
          <w:szCs w:val="27"/>
        </w:rPr>
        <w:t>,</w:t>
      </w:r>
      <w:r w:rsidR="00533437">
        <w:rPr>
          <w:rFonts w:ascii="Open Sans" w:hAnsi="Open Sans" w:cs="Open Sans"/>
          <w:color w:val="333333"/>
          <w:sz w:val="27"/>
          <w:szCs w:val="27"/>
        </w:rPr>
        <w:t xml:space="preserve"> </w:t>
      </w:r>
      <w:r w:rsidRPr="006D3354">
        <w:rPr>
          <w:rFonts w:ascii="Open Sans" w:hAnsi="Open Sans" w:cs="Open Sans"/>
          <w:color w:val="333333"/>
          <w:sz w:val="27"/>
          <w:szCs w:val="27"/>
        </w:rPr>
        <w:t>which is more reflective of country-submitted estimates</w:t>
      </w:r>
      <w:r w:rsidR="00C12A4D">
        <w:rPr>
          <w:rFonts w:ascii="Open Sans" w:hAnsi="Open Sans" w:cs="Open Sans"/>
          <w:color w:val="333333"/>
          <w:sz w:val="27"/>
          <w:szCs w:val="27"/>
        </w:rPr>
        <w:t xml:space="preserve"> and </w:t>
      </w:r>
      <w:r w:rsidRPr="006D3354">
        <w:rPr>
          <w:rFonts w:ascii="Open Sans" w:hAnsi="Open Sans" w:cs="Open Sans"/>
          <w:color w:val="333333"/>
          <w:sz w:val="27"/>
          <w:szCs w:val="27"/>
        </w:rPr>
        <w:t>draws data from submissions and briefs to the UNFCCC and REDD+, independent reports, satellite data, and wildfire data to report emissions and removals</w:t>
      </w:r>
      <w:r w:rsidR="00C12A4D">
        <w:rPr>
          <w:rFonts w:ascii="Open Sans" w:hAnsi="Open Sans" w:cs="Open Sans"/>
          <w:color w:val="333333"/>
          <w:sz w:val="27"/>
          <w:szCs w:val="27"/>
        </w:rPr>
        <w:t>.</w:t>
      </w:r>
      <w:r w:rsidR="004F6519">
        <w:rPr>
          <w:rFonts w:ascii="Open Sans" w:hAnsi="Open Sans" w:cs="Open Sans"/>
          <w:color w:val="333333"/>
          <w:sz w:val="27"/>
          <w:szCs w:val="27"/>
        </w:rPr>
        <w:t xml:space="preserve"> The Grassi database </w:t>
      </w:r>
      <w:r w:rsidR="006A13D9">
        <w:rPr>
          <w:rFonts w:ascii="Open Sans" w:hAnsi="Open Sans" w:cs="Open Sans"/>
          <w:color w:val="333333"/>
          <w:sz w:val="27"/>
          <w:szCs w:val="27"/>
        </w:rPr>
        <w:t xml:space="preserve">covers the years </w:t>
      </w:r>
      <w:r w:rsidR="004A20BB">
        <w:rPr>
          <w:rFonts w:ascii="Open Sans" w:hAnsi="Open Sans" w:cs="Open Sans"/>
          <w:color w:val="333333"/>
          <w:sz w:val="27"/>
          <w:szCs w:val="27"/>
        </w:rPr>
        <w:t>2000-202</w:t>
      </w:r>
      <w:r w:rsidR="003431CE">
        <w:rPr>
          <w:rFonts w:ascii="Open Sans" w:hAnsi="Open Sans" w:cs="Open Sans"/>
          <w:color w:val="333333"/>
          <w:sz w:val="27"/>
          <w:szCs w:val="27"/>
        </w:rPr>
        <w:t>0</w:t>
      </w:r>
      <w:r w:rsidR="004A20BB">
        <w:rPr>
          <w:rFonts w:ascii="Open Sans" w:hAnsi="Open Sans" w:cs="Open Sans"/>
          <w:color w:val="333333"/>
          <w:sz w:val="27"/>
          <w:szCs w:val="27"/>
        </w:rPr>
        <w:t>.</w:t>
      </w:r>
    </w:p>
    <w:p w14:paraId="549CB4DC" w14:textId="77777777" w:rsidR="005B5980" w:rsidRDefault="005B5980" w:rsidP="00107B25">
      <w:p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</w:rPr>
      </w:pPr>
    </w:p>
    <w:p w14:paraId="329A38D5" w14:textId="259E715D" w:rsidR="005B5980" w:rsidRDefault="004E2E94" w:rsidP="00107B25">
      <w:p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 xml:space="preserve">The new indicators also include the carbon intensity of power generation and of GDP, </w:t>
      </w:r>
      <w:r w:rsidR="00515A90">
        <w:rPr>
          <w:rFonts w:ascii="Open Sans" w:hAnsi="Open Sans" w:cs="Open Sans"/>
          <w:color w:val="333333"/>
          <w:sz w:val="27"/>
          <w:szCs w:val="27"/>
        </w:rPr>
        <w:t xml:space="preserve">as well as </w:t>
      </w:r>
      <w:r w:rsidR="004B302E">
        <w:rPr>
          <w:rFonts w:ascii="Open Sans" w:hAnsi="Open Sans" w:cs="Open Sans"/>
          <w:color w:val="333333"/>
          <w:sz w:val="27"/>
          <w:szCs w:val="27"/>
        </w:rPr>
        <w:t xml:space="preserve">the change of emissions with respect to 1990 for all gases. The year 1990 </w:t>
      </w:r>
      <w:r w:rsidR="004D4B60">
        <w:rPr>
          <w:rFonts w:ascii="Open Sans" w:hAnsi="Open Sans" w:cs="Open Sans"/>
          <w:color w:val="333333"/>
          <w:sz w:val="27"/>
          <w:szCs w:val="27"/>
        </w:rPr>
        <w:t>is used as reference year in the Kyoto protocol.</w:t>
      </w:r>
    </w:p>
    <w:p w14:paraId="6E9E9C3A" w14:textId="77777777" w:rsidR="006D3354" w:rsidRDefault="006D3354" w:rsidP="00107B25">
      <w:p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</w:rPr>
      </w:pPr>
    </w:p>
    <w:p w14:paraId="0D49A404" w14:textId="37E17B9F" w:rsidR="00461685" w:rsidRDefault="00C05322" w:rsidP="00107B25">
      <w:p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The 44 indicators replace the previous 37 GHG emissions indicators in WDI</w:t>
      </w:r>
      <w:r w:rsidR="002003BB">
        <w:rPr>
          <w:rFonts w:ascii="Open Sans" w:hAnsi="Open Sans" w:cs="Open Sans"/>
          <w:color w:val="333333"/>
          <w:sz w:val="27"/>
          <w:szCs w:val="27"/>
        </w:rPr>
        <w:t xml:space="preserve">, which </w:t>
      </w:r>
      <w:r w:rsidR="00C31C25">
        <w:rPr>
          <w:rFonts w:ascii="Open Sans" w:hAnsi="Open Sans" w:cs="Open Sans"/>
          <w:color w:val="333333"/>
          <w:sz w:val="27"/>
          <w:szCs w:val="27"/>
        </w:rPr>
        <w:t>were</w:t>
      </w:r>
      <w:r w:rsidR="00350880">
        <w:rPr>
          <w:rFonts w:ascii="Open Sans" w:hAnsi="Open Sans" w:cs="Open Sans"/>
          <w:color w:val="333333"/>
          <w:sz w:val="27"/>
          <w:szCs w:val="27"/>
        </w:rPr>
        <w:t xml:space="preserve"> from</w:t>
      </w:r>
      <w:r w:rsidR="002003BB">
        <w:rPr>
          <w:rFonts w:ascii="Open Sans" w:hAnsi="Open Sans" w:cs="Open Sans"/>
          <w:color w:val="333333"/>
          <w:sz w:val="27"/>
          <w:szCs w:val="27"/>
        </w:rPr>
        <w:t xml:space="preserve"> various data sources</w:t>
      </w:r>
      <w:r w:rsidR="00066DFE">
        <w:rPr>
          <w:rFonts w:ascii="Open Sans" w:hAnsi="Open Sans" w:cs="Open Sans"/>
          <w:color w:val="333333"/>
          <w:sz w:val="27"/>
          <w:szCs w:val="27"/>
        </w:rPr>
        <w:t xml:space="preserve">, limiting the comparability across </w:t>
      </w:r>
      <w:r w:rsidR="00066DFE">
        <w:rPr>
          <w:rFonts w:ascii="Open Sans" w:hAnsi="Open Sans" w:cs="Open Sans"/>
          <w:color w:val="333333"/>
          <w:sz w:val="27"/>
          <w:szCs w:val="27"/>
        </w:rPr>
        <w:lastRenderedPageBreak/>
        <w:t>indicators,</w:t>
      </w:r>
      <w:r w:rsidR="002003BB">
        <w:rPr>
          <w:rFonts w:ascii="Open Sans" w:hAnsi="Open Sans" w:cs="Open Sans"/>
          <w:color w:val="333333"/>
          <w:sz w:val="27"/>
          <w:szCs w:val="27"/>
        </w:rPr>
        <w:t xml:space="preserve"> </w:t>
      </w:r>
      <w:r w:rsidR="00FA68B0">
        <w:rPr>
          <w:rFonts w:ascii="Open Sans" w:hAnsi="Open Sans" w:cs="Open Sans"/>
          <w:color w:val="333333"/>
          <w:sz w:val="27"/>
          <w:szCs w:val="27"/>
        </w:rPr>
        <w:t>and had limited time coverage, especially for more recent years.</w:t>
      </w:r>
      <w:r w:rsidR="00066DFE">
        <w:rPr>
          <w:rFonts w:ascii="Open Sans" w:hAnsi="Open Sans" w:cs="Open Sans"/>
          <w:color w:val="333333"/>
          <w:sz w:val="27"/>
          <w:szCs w:val="27"/>
        </w:rPr>
        <w:t xml:space="preserve"> As the methodology differs between the new indicators and the previous indicators, e.g. using different GWP values</w:t>
      </w:r>
      <w:r w:rsidR="005B5980">
        <w:rPr>
          <w:rFonts w:ascii="Open Sans" w:hAnsi="Open Sans" w:cs="Open Sans"/>
          <w:color w:val="333333"/>
          <w:sz w:val="27"/>
          <w:szCs w:val="27"/>
        </w:rPr>
        <w:t xml:space="preserve"> (AR4 vs AR5), all indicators have new indicator codes and all values, also for previous years, were replaced.</w:t>
      </w:r>
    </w:p>
    <w:p w14:paraId="47831B26" w14:textId="77777777" w:rsidR="005B5980" w:rsidRDefault="005B5980" w:rsidP="00107B25">
      <w:p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</w:rPr>
      </w:pPr>
    </w:p>
    <w:p w14:paraId="6A0E350A" w14:textId="4C21DFB5" w:rsidR="00877AE8" w:rsidRPr="00877AE8" w:rsidRDefault="00877AE8" w:rsidP="00877AE8">
      <w:pPr>
        <w:pStyle w:val="ListParagraph"/>
        <w:numPr>
          <w:ilvl w:val="0"/>
          <w:numId w:val="3"/>
        </w:num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</w:pPr>
      <w:r w:rsidRPr="00877AE8"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Added</w:t>
      </w:r>
    </w:p>
    <w:p w14:paraId="5ADA3D71" w14:textId="77777777" w:rsidR="00107B25" w:rsidRDefault="00107B25" w:rsidP="00F2616B">
      <w:p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</w:pPr>
    </w:p>
    <w:tbl>
      <w:tblPr>
        <w:tblStyle w:val="GridTable1Light"/>
        <w:tblW w:w="10840" w:type="dxa"/>
        <w:tblLook w:val="04A0" w:firstRow="1" w:lastRow="0" w:firstColumn="1" w:lastColumn="0" w:noHBand="0" w:noVBand="1"/>
      </w:tblPr>
      <w:tblGrid>
        <w:gridCol w:w="3120"/>
        <w:gridCol w:w="7720"/>
      </w:tblGrid>
      <w:tr w:rsidR="00B71F7B" w:rsidRPr="00B71F7B" w14:paraId="6DA94E98" w14:textId="77777777" w:rsidTr="00B71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4428BD16" w14:textId="165936F5" w:rsidR="00B71F7B" w:rsidRPr="00B71F7B" w:rsidRDefault="00B71F7B" w:rsidP="00B71F7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Series Code</w:t>
            </w:r>
          </w:p>
        </w:tc>
        <w:tc>
          <w:tcPr>
            <w:tcW w:w="7720" w:type="dxa"/>
            <w:noWrap/>
            <w:hideMark/>
          </w:tcPr>
          <w:p w14:paraId="69EABEDF" w14:textId="3A92D5D2" w:rsidR="00B71F7B" w:rsidRPr="00B71F7B" w:rsidRDefault="00B71F7B" w:rsidP="00B71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Indicator Name</w:t>
            </w:r>
          </w:p>
        </w:tc>
      </w:tr>
      <w:tr w:rsidR="00B71F7B" w:rsidRPr="00B71F7B" w14:paraId="4B8BABFF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13391867" w14:textId="709A94BD" w:rsidR="00B71F7B" w:rsidRPr="00E0377C" w:rsidRDefault="00B71F7B" w:rsidP="00B71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EN.GHG.ALL.MT.CE.AR5</w:t>
            </w:r>
          </w:p>
        </w:tc>
        <w:tc>
          <w:tcPr>
            <w:tcW w:w="7720" w:type="dxa"/>
            <w:noWrap/>
            <w:hideMark/>
          </w:tcPr>
          <w:p w14:paraId="1069F293" w14:textId="0B64630F" w:rsidR="00B71F7B" w:rsidRPr="00B71F7B" w:rsidRDefault="00B71F7B" w:rsidP="00B7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greenhouse gas emissions excluding LULUCF (Mt CO2e)</w:t>
            </w:r>
          </w:p>
        </w:tc>
      </w:tr>
      <w:tr w:rsidR="00B71F7B" w:rsidRPr="00B71F7B" w14:paraId="137BFF43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48523120" w14:textId="2538F22B" w:rsidR="00B71F7B" w:rsidRPr="00E0377C" w:rsidRDefault="00B71F7B" w:rsidP="00B71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EN.GHG.ALL.LU.MT.CE.AR5</w:t>
            </w:r>
          </w:p>
        </w:tc>
        <w:tc>
          <w:tcPr>
            <w:tcW w:w="7720" w:type="dxa"/>
            <w:noWrap/>
            <w:hideMark/>
          </w:tcPr>
          <w:p w14:paraId="14336A26" w14:textId="14AF2C8C" w:rsidR="00B71F7B" w:rsidRPr="00B71F7B" w:rsidRDefault="00B71F7B" w:rsidP="00B7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greenhouse gas emissions including LULUCF (Mt CO2e)</w:t>
            </w:r>
          </w:p>
        </w:tc>
      </w:tr>
      <w:tr w:rsidR="00B71F7B" w:rsidRPr="00B71F7B" w14:paraId="240540E5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16FC5D72" w14:textId="77777777" w:rsidR="00B71F7B" w:rsidRPr="00E0377C" w:rsidRDefault="00B71F7B" w:rsidP="00B71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EN.GHG.CO2.MT.CE.AR5</w:t>
            </w:r>
          </w:p>
        </w:tc>
        <w:tc>
          <w:tcPr>
            <w:tcW w:w="7720" w:type="dxa"/>
            <w:noWrap/>
            <w:hideMark/>
          </w:tcPr>
          <w:p w14:paraId="6A99A96A" w14:textId="77777777" w:rsidR="00B71F7B" w:rsidRPr="00B71F7B" w:rsidRDefault="00B71F7B" w:rsidP="00B7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emissions (total) excluding LULUCF (Mt CO2e)</w:t>
            </w:r>
          </w:p>
        </w:tc>
      </w:tr>
      <w:tr w:rsidR="00B71F7B" w:rsidRPr="00B71F7B" w14:paraId="212F4FDB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78974E8E" w14:textId="77777777" w:rsidR="00B71F7B" w:rsidRPr="00E0377C" w:rsidRDefault="00B71F7B" w:rsidP="00B71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EN.GHG.CO2.AG.MT.CE.AR5</w:t>
            </w:r>
          </w:p>
        </w:tc>
        <w:tc>
          <w:tcPr>
            <w:tcW w:w="7720" w:type="dxa"/>
            <w:noWrap/>
            <w:hideMark/>
          </w:tcPr>
          <w:p w14:paraId="5FAD94B8" w14:textId="77777777" w:rsidR="00B71F7B" w:rsidRPr="00B71F7B" w:rsidRDefault="00B71F7B" w:rsidP="00B7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emissions from Agriculture (Mt CO2e)</w:t>
            </w:r>
          </w:p>
        </w:tc>
      </w:tr>
      <w:tr w:rsidR="00B71F7B" w:rsidRPr="00B71F7B" w14:paraId="0A613B5F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2F174573" w14:textId="77777777" w:rsidR="00B71F7B" w:rsidRPr="00E0377C" w:rsidRDefault="00B71F7B" w:rsidP="00B71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EN.GHG.CO2.BU.MT.CE.AR5</w:t>
            </w:r>
          </w:p>
        </w:tc>
        <w:tc>
          <w:tcPr>
            <w:tcW w:w="7720" w:type="dxa"/>
            <w:noWrap/>
            <w:hideMark/>
          </w:tcPr>
          <w:p w14:paraId="2AD00BCB" w14:textId="77777777" w:rsidR="00B71F7B" w:rsidRPr="00B71F7B" w:rsidRDefault="00B71F7B" w:rsidP="00B7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emissions from Building (Energy) (Mt CO2e)</w:t>
            </w:r>
          </w:p>
        </w:tc>
      </w:tr>
      <w:tr w:rsidR="00B71F7B" w:rsidRPr="00B71F7B" w14:paraId="01A03998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4F2F7012" w14:textId="77777777" w:rsidR="00B71F7B" w:rsidRPr="00E0377C" w:rsidRDefault="00B71F7B" w:rsidP="00B71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EN.GHG.CO2.FE.MT.CE.AR5</w:t>
            </w:r>
          </w:p>
        </w:tc>
        <w:tc>
          <w:tcPr>
            <w:tcW w:w="7720" w:type="dxa"/>
            <w:noWrap/>
            <w:hideMark/>
          </w:tcPr>
          <w:p w14:paraId="69EB4418" w14:textId="77777777" w:rsidR="00B71F7B" w:rsidRPr="00B71F7B" w:rsidRDefault="00B71F7B" w:rsidP="00B7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emissions from Fugitive Emissions (Energy) (Mt CO2e)</w:t>
            </w:r>
          </w:p>
        </w:tc>
      </w:tr>
      <w:tr w:rsidR="00B71F7B" w:rsidRPr="00B71F7B" w14:paraId="3E025383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7ACE2CC5" w14:textId="77777777" w:rsidR="00B71F7B" w:rsidRPr="00E0377C" w:rsidRDefault="00B71F7B" w:rsidP="00B71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EN.GHG.CO2.IC.MT.CE.AR5</w:t>
            </w:r>
          </w:p>
        </w:tc>
        <w:tc>
          <w:tcPr>
            <w:tcW w:w="7720" w:type="dxa"/>
            <w:noWrap/>
            <w:hideMark/>
          </w:tcPr>
          <w:p w14:paraId="52987661" w14:textId="77777777" w:rsidR="00B71F7B" w:rsidRPr="00B71F7B" w:rsidRDefault="00B71F7B" w:rsidP="00B7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emissions from Industrial Combustion (Energy) (Mt CO2e)</w:t>
            </w:r>
          </w:p>
        </w:tc>
      </w:tr>
      <w:tr w:rsidR="00B71F7B" w:rsidRPr="00B71F7B" w14:paraId="0DE132F3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7A4A8E1F" w14:textId="77777777" w:rsidR="00B71F7B" w:rsidRPr="00E0377C" w:rsidRDefault="00B71F7B" w:rsidP="00B71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EN.GHG.CO2.PI.MT.CE.AR5</w:t>
            </w:r>
          </w:p>
        </w:tc>
        <w:tc>
          <w:tcPr>
            <w:tcW w:w="7720" w:type="dxa"/>
            <w:noWrap/>
            <w:hideMark/>
          </w:tcPr>
          <w:p w14:paraId="193B2AAF" w14:textId="77777777" w:rsidR="00B71F7B" w:rsidRPr="00B71F7B" w:rsidRDefault="00B71F7B" w:rsidP="00B7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emissions from Power Industry (Energy) (Mt CO2e)</w:t>
            </w:r>
          </w:p>
        </w:tc>
      </w:tr>
      <w:tr w:rsidR="00B71F7B" w:rsidRPr="00B71F7B" w14:paraId="178C9967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136C50AC" w14:textId="77777777" w:rsidR="00B71F7B" w:rsidRPr="00E0377C" w:rsidRDefault="00B71F7B" w:rsidP="00B71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EN.GHG.CO2.IP.MT.CE.AR5</w:t>
            </w:r>
          </w:p>
        </w:tc>
        <w:tc>
          <w:tcPr>
            <w:tcW w:w="7720" w:type="dxa"/>
            <w:noWrap/>
            <w:hideMark/>
          </w:tcPr>
          <w:p w14:paraId="3D5F9965" w14:textId="77777777" w:rsidR="00B71F7B" w:rsidRPr="00B71F7B" w:rsidRDefault="00B71F7B" w:rsidP="00B7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emissions from Industrial Processes (Mt CO2e)</w:t>
            </w:r>
          </w:p>
        </w:tc>
      </w:tr>
      <w:tr w:rsidR="00B71F7B" w:rsidRPr="00B71F7B" w14:paraId="4B03388C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07E5B281" w14:textId="77777777" w:rsidR="00B71F7B" w:rsidRPr="00E0377C" w:rsidRDefault="00B71F7B" w:rsidP="00B71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EN.GHG.CO2.TR.MT.CE.AR5</w:t>
            </w:r>
          </w:p>
        </w:tc>
        <w:tc>
          <w:tcPr>
            <w:tcW w:w="7720" w:type="dxa"/>
            <w:noWrap/>
            <w:hideMark/>
          </w:tcPr>
          <w:p w14:paraId="11FDA72E" w14:textId="77777777" w:rsidR="00B71F7B" w:rsidRPr="00B71F7B" w:rsidRDefault="00B71F7B" w:rsidP="00B7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emissions from Transport (Energy) (Mt CO2e)</w:t>
            </w:r>
          </w:p>
        </w:tc>
      </w:tr>
      <w:tr w:rsidR="00B71F7B" w:rsidRPr="00B71F7B" w14:paraId="25F68EBF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559D2C79" w14:textId="77777777" w:rsidR="00B71F7B" w:rsidRPr="00E0377C" w:rsidRDefault="00B71F7B" w:rsidP="00B71F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EN.GHG.CO2.WA.MT.CE.AR5</w:t>
            </w:r>
          </w:p>
        </w:tc>
        <w:tc>
          <w:tcPr>
            <w:tcW w:w="7720" w:type="dxa"/>
            <w:noWrap/>
            <w:hideMark/>
          </w:tcPr>
          <w:p w14:paraId="09C00117" w14:textId="77777777" w:rsidR="00B71F7B" w:rsidRPr="00B71F7B" w:rsidRDefault="00B71F7B" w:rsidP="00B7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emissions from Waste (Mt CO2e)</w:t>
            </w:r>
          </w:p>
        </w:tc>
      </w:tr>
      <w:tr w:rsidR="00780CFF" w:rsidRPr="00B71F7B" w14:paraId="08290201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7ECF027C" w14:textId="0336591E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EN.GHG.CH4.MT.CE.AR5</w:t>
            </w:r>
          </w:p>
        </w:tc>
        <w:tc>
          <w:tcPr>
            <w:tcW w:w="7720" w:type="dxa"/>
            <w:noWrap/>
            <w:hideMark/>
          </w:tcPr>
          <w:p w14:paraId="669F4BBA" w14:textId="57059922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(CH4) emissions (total) excluding LULUCF (Mt CO2e)</w:t>
            </w:r>
          </w:p>
        </w:tc>
      </w:tr>
      <w:tr w:rsidR="00780CFF" w:rsidRPr="00B71F7B" w14:paraId="51BF379B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283E9544" w14:textId="0CD080E7" w:rsidR="00780CFF" w:rsidRPr="00E0377C" w:rsidRDefault="00780CFF" w:rsidP="00780CFF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EN.GHG.CH4.AG.MT.CE.AR5</w:t>
            </w:r>
          </w:p>
        </w:tc>
        <w:tc>
          <w:tcPr>
            <w:tcW w:w="7720" w:type="dxa"/>
            <w:noWrap/>
            <w:hideMark/>
          </w:tcPr>
          <w:p w14:paraId="03F10E53" w14:textId="35EDD657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(CH4) emissions from Agriculture (Mt CO2e)</w:t>
            </w:r>
          </w:p>
        </w:tc>
      </w:tr>
      <w:tr w:rsidR="00780CFF" w:rsidRPr="00B71F7B" w14:paraId="0695AE46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2FC50AA7" w14:textId="004498D5" w:rsidR="00780CFF" w:rsidRPr="00E0377C" w:rsidRDefault="00780CFF" w:rsidP="00780CFF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EN.GHG.CH4.BU.MT.CE.AR5</w:t>
            </w:r>
          </w:p>
        </w:tc>
        <w:tc>
          <w:tcPr>
            <w:tcW w:w="7720" w:type="dxa"/>
            <w:noWrap/>
            <w:hideMark/>
          </w:tcPr>
          <w:p w14:paraId="35367E3D" w14:textId="62A7D2F5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(CH4) emissions from Building (Energy) (Mt CO2e)</w:t>
            </w:r>
          </w:p>
        </w:tc>
      </w:tr>
      <w:tr w:rsidR="00780CFF" w:rsidRPr="00B71F7B" w14:paraId="47C734CC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374B6B2D" w14:textId="5B54E7F5" w:rsidR="00780CFF" w:rsidRPr="00E0377C" w:rsidRDefault="00780CFF" w:rsidP="00780CFF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EN.GHG.CH4.FE.MT.CE.AR5</w:t>
            </w:r>
          </w:p>
        </w:tc>
        <w:tc>
          <w:tcPr>
            <w:tcW w:w="7720" w:type="dxa"/>
            <w:noWrap/>
            <w:hideMark/>
          </w:tcPr>
          <w:p w14:paraId="635B7C94" w14:textId="635379E5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(CH4) emissions from Fugitive Emissions (Energy) (Mt CO2e)</w:t>
            </w:r>
          </w:p>
        </w:tc>
      </w:tr>
      <w:tr w:rsidR="00780CFF" w:rsidRPr="00B71F7B" w14:paraId="66317F73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404159B0" w14:textId="14782282" w:rsidR="00780CFF" w:rsidRPr="00E0377C" w:rsidRDefault="00780CFF" w:rsidP="00780CFF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EN.GHG.CH4.IC.MT.CE.AR5</w:t>
            </w:r>
          </w:p>
        </w:tc>
        <w:tc>
          <w:tcPr>
            <w:tcW w:w="7720" w:type="dxa"/>
            <w:noWrap/>
            <w:hideMark/>
          </w:tcPr>
          <w:p w14:paraId="261A9E24" w14:textId="5FD0804F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(CH4) emissions from Industrial Combustion (Energy) (Mt CO2e)</w:t>
            </w:r>
          </w:p>
        </w:tc>
      </w:tr>
      <w:tr w:rsidR="00780CFF" w:rsidRPr="00B71F7B" w14:paraId="1EA166CF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13F35DB5" w14:textId="5CD7418C" w:rsidR="00780CFF" w:rsidRPr="00E0377C" w:rsidRDefault="00780CFF" w:rsidP="00780CFF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EN.GHG.CH4.PI.MT.CE.AR5</w:t>
            </w:r>
          </w:p>
        </w:tc>
        <w:tc>
          <w:tcPr>
            <w:tcW w:w="7720" w:type="dxa"/>
            <w:noWrap/>
            <w:hideMark/>
          </w:tcPr>
          <w:p w14:paraId="7A5EB70D" w14:textId="48FA7273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(CH4) emissions from Power Industry (Energy) (Mt CO2e)</w:t>
            </w:r>
          </w:p>
        </w:tc>
      </w:tr>
      <w:tr w:rsidR="00780CFF" w:rsidRPr="00B71F7B" w14:paraId="0A3AC5F8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30F1DB0F" w14:textId="4B057068" w:rsidR="00780CFF" w:rsidRPr="00E0377C" w:rsidRDefault="00780CFF" w:rsidP="00780CFF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EN.GHG.CH4.IP.MT.CE.AR5</w:t>
            </w:r>
          </w:p>
        </w:tc>
        <w:tc>
          <w:tcPr>
            <w:tcW w:w="7720" w:type="dxa"/>
            <w:noWrap/>
            <w:hideMark/>
          </w:tcPr>
          <w:p w14:paraId="496D8958" w14:textId="2AB61C53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(CH4) emissions from Industrial Processes (Mt CO2e)</w:t>
            </w:r>
          </w:p>
        </w:tc>
      </w:tr>
      <w:tr w:rsidR="00780CFF" w:rsidRPr="00B71F7B" w14:paraId="1E5505B8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0BC97C23" w14:textId="27696E20" w:rsidR="00780CFF" w:rsidRPr="00E0377C" w:rsidRDefault="00780CFF" w:rsidP="00780CFF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EN.GHG.CH4.TR.MT.CE.AR5</w:t>
            </w:r>
          </w:p>
        </w:tc>
        <w:tc>
          <w:tcPr>
            <w:tcW w:w="7720" w:type="dxa"/>
            <w:noWrap/>
            <w:hideMark/>
          </w:tcPr>
          <w:p w14:paraId="4BABF14D" w14:textId="12B29087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(CH4) emissions from Transport (Energy) (Mt CO2e)</w:t>
            </w:r>
          </w:p>
        </w:tc>
      </w:tr>
      <w:tr w:rsidR="00780CFF" w:rsidRPr="00B71F7B" w14:paraId="1D93D83D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3EC92927" w14:textId="675F48C8" w:rsidR="00780CFF" w:rsidRPr="00E0377C" w:rsidRDefault="00780CFF" w:rsidP="00780CFF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EN.GHG.CH4.WA.MT.CE.AR5</w:t>
            </w:r>
          </w:p>
        </w:tc>
        <w:tc>
          <w:tcPr>
            <w:tcW w:w="7720" w:type="dxa"/>
            <w:noWrap/>
            <w:hideMark/>
          </w:tcPr>
          <w:p w14:paraId="463C97AE" w14:textId="4D781445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(CH4) emissions from Waste (Mt CO2e)</w:t>
            </w:r>
          </w:p>
        </w:tc>
      </w:tr>
      <w:tr w:rsidR="00780CFF" w:rsidRPr="00B71F7B" w14:paraId="2574F7A7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4BDB5076" w14:textId="500B42E3" w:rsidR="00780CFF" w:rsidRPr="00E0377C" w:rsidRDefault="00780CFF" w:rsidP="00780CFF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EN.GHG.N2O.MT.CE.AR5</w:t>
            </w:r>
          </w:p>
        </w:tc>
        <w:tc>
          <w:tcPr>
            <w:tcW w:w="7720" w:type="dxa"/>
            <w:noWrap/>
            <w:hideMark/>
          </w:tcPr>
          <w:p w14:paraId="37AA9077" w14:textId="5B11EF88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Nitrous oxide (N2O) emissions (total) excluding LULUCF (Mt CO2e)</w:t>
            </w:r>
          </w:p>
        </w:tc>
      </w:tr>
      <w:tr w:rsidR="00780CFF" w:rsidRPr="00473CB5" w14:paraId="460F42E1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134D9404" w14:textId="5A1F11EA" w:rsidR="00780CFF" w:rsidRPr="00E0377C" w:rsidRDefault="00780CFF" w:rsidP="00780CFF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EN.GHG.N2O.AG.MT.CE.AR5</w:t>
            </w:r>
          </w:p>
        </w:tc>
        <w:tc>
          <w:tcPr>
            <w:tcW w:w="7720" w:type="dxa"/>
            <w:noWrap/>
            <w:hideMark/>
          </w:tcPr>
          <w:p w14:paraId="223428D5" w14:textId="74FF3238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  <w:t>Nitrous oxide (N2O) emissions from Agriculture (Mt CO2e)</w:t>
            </w:r>
          </w:p>
        </w:tc>
      </w:tr>
      <w:tr w:rsidR="00780CFF" w:rsidRPr="00B71F7B" w14:paraId="26D241B7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528580DD" w14:textId="7D3683FA" w:rsidR="00780CFF" w:rsidRPr="00E0377C" w:rsidRDefault="00780CFF" w:rsidP="00780CFF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  <w:lang w:val="pt-BR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pt-BR"/>
                <w14:ligatures w14:val="none"/>
              </w:rPr>
              <w:t>EN.GHG.N2O.BU.MT.CE.AR5</w:t>
            </w:r>
          </w:p>
        </w:tc>
        <w:tc>
          <w:tcPr>
            <w:tcW w:w="7720" w:type="dxa"/>
            <w:noWrap/>
            <w:hideMark/>
          </w:tcPr>
          <w:p w14:paraId="66AD70EE" w14:textId="2F7214EB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Nitrous oxide (N2O) emissions from Building (Energy) (Mt CO2e)</w:t>
            </w:r>
          </w:p>
        </w:tc>
      </w:tr>
      <w:tr w:rsidR="00780CFF" w:rsidRPr="00473CB5" w14:paraId="56F77D66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6B2FC87E" w14:textId="46994207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EN.GHG.N2O.FE.MT.CE.AR5</w:t>
            </w:r>
          </w:p>
        </w:tc>
        <w:tc>
          <w:tcPr>
            <w:tcW w:w="7720" w:type="dxa"/>
            <w:noWrap/>
          </w:tcPr>
          <w:p w14:paraId="232B80C3" w14:textId="0086EB67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  <w:t>Nitrous oxide (N2O) emissions from Fugitive Emissions (Energy) (Mt CO2e)</w:t>
            </w:r>
          </w:p>
        </w:tc>
      </w:tr>
      <w:tr w:rsidR="00780CFF" w:rsidRPr="00B71F7B" w14:paraId="585C0F7D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6F92939C" w14:textId="53016E43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pt-BR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pt-BR"/>
                <w14:ligatures w14:val="none"/>
              </w:rPr>
              <w:t>EN.GHG.N2O.IC.MT.CE.AR5</w:t>
            </w:r>
          </w:p>
        </w:tc>
        <w:tc>
          <w:tcPr>
            <w:tcW w:w="7720" w:type="dxa"/>
            <w:noWrap/>
          </w:tcPr>
          <w:p w14:paraId="6535B48A" w14:textId="78EFE1BF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Nitrous oxide (N2O) emissions from Industrial Combustion (Energy) (Mt CO2e)</w:t>
            </w:r>
          </w:p>
        </w:tc>
      </w:tr>
      <w:tr w:rsidR="00780CFF" w:rsidRPr="00B71F7B" w14:paraId="25DADF94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5ECB03D4" w14:textId="25B446C9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EN.GHG.N2O.PI.MT.CE.AR5</w:t>
            </w:r>
          </w:p>
        </w:tc>
        <w:tc>
          <w:tcPr>
            <w:tcW w:w="7720" w:type="dxa"/>
            <w:noWrap/>
          </w:tcPr>
          <w:p w14:paraId="2D5EB88E" w14:textId="100C642A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Nitrous oxide (N2O) emissions from Power Industry (Energy) (Mt CO2e)</w:t>
            </w:r>
          </w:p>
        </w:tc>
      </w:tr>
      <w:tr w:rsidR="00780CFF" w:rsidRPr="00473CB5" w14:paraId="65502CC6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58BFE8E3" w14:textId="466B5C40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EN.GHG.N2O.IP.MT.CE.AR5</w:t>
            </w:r>
          </w:p>
        </w:tc>
        <w:tc>
          <w:tcPr>
            <w:tcW w:w="7720" w:type="dxa"/>
            <w:noWrap/>
          </w:tcPr>
          <w:p w14:paraId="5556282D" w14:textId="1FBED78C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  <w:t>Nitrous oxide (N2O) emissions from Industrial Processes (Mt CO2e)</w:t>
            </w:r>
          </w:p>
        </w:tc>
      </w:tr>
      <w:tr w:rsidR="00780CFF" w:rsidRPr="00B71F7B" w14:paraId="5B87FE9A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4FD28D62" w14:textId="775FD698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pt-BR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pt-BR"/>
                <w14:ligatures w14:val="none"/>
              </w:rPr>
              <w:t>EN.GHG.N2O.TR.MT.CE.AR5</w:t>
            </w:r>
          </w:p>
        </w:tc>
        <w:tc>
          <w:tcPr>
            <w:tcW w:w="7720" w:type="dxa"/>
            <w:noWrap/>
          </w:tcPr>
          <w:p w14:paraId="5B86C031" w14:textId="32B88306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Nitrous oxide (N2O) emissions from Transport (Energy) (Mt CO2e)</w:t>
            </w:r>
          </w:p>
        </w:tc>
      </w:tr>
      <w:tr w:rsidR="00780CFF" w:rsidRPr="00B71F7B" w14:paraId="695B46E1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0B3F3BE1" w14:textId="6B87561E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EN.GHG.N2O.WA.MT.CE.AR5</w:t>
            </w:r>
          </w:p>
        </w:tc>
        <w:tc>
          <w:tcPr>
            <w:tcW w:w="7720" w:type="dxa"/>
            <w:noWrap/>
          </w:tcPr>
          <w:p w14:paraId="13E8E9BA" w14:textId="41FFAE0A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Nitrous oxide (N2O) emissions from Waste (Mt CO2e)</w:t>
            </w:r>
          </w:p>
        </w:tc>
      </w:tr>
      <w:tr w:rsidR="00780CFF" w:rsidRPr="00B71F7B" w14:paraId="7094AF21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5AD27DFA" w14:textId="77777777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EN.GHG.FGAS.IP.MT.CE.AR5</w:t>
            </w:r>
          </w:p>
        </w:tc>
        <w:tc>
          <w:tcPr>
            <w:tcW w:w="7720" w:type="dxa"/>
            <w:noWrap/>
            <w:hideMark/>
          </w:tcPr>
          <w:p w14:paraId="5837D289" w14:textId="77777777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F-gases emissions from Industrial Processes (Mt CO2e)</w:t>
            </w:r>
          </w:p>
        </w:tc>
      </w:tr>
      <w:tr w:rsidR="00780CFF" w:rsidRPr="00B71F7B" w14:paraId="0BC00F0D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130F6B45" w14:textId="0E3A9791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EN.GHG.CO2.LU.DF.MT.CE.AR5</w:t>
            </w:r>
          </w:p>
        </w:tc>
        <w:tc>
          <w:tcPr>
            <w:tcW w:w="7720" w:type="dxa"/>
            <w:noWrap/>
            <w:hideMark/>
          </w:tcPr>
          <w:p w14:paraId="5192E74B" w14:textId="78D55968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net fluxes from LULUCF - Deforestation (Mt CO2e)</w:t>
            </w:r>
          </w:p>
        </w:tc>
      </w:tr>
      <w:tr w:rsidR="00780CFF" w:rsidRPr="00B71F7B" w14:paraId="1DB8F71E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515E677F" w14:textId="3E55FD3C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EN.GHG.CO2.LU.FL.MT.CE.AR5</w:t>
            </w:r>
          </w:p>
        </w:tc>
        <w:tc>
          <w:tcPr>
            <w:tcW w:w="7720" w:type="dxa"/>
            <w:noWrap/>
            <w:hideMark/>
          </w:tcPr>
          <w:p w14:paraId="2DB54230" w14:textId="03E0B1A7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net fluxes from LULUCF - Forest Land (Mt CO2e)</w:t>
            </w:r>
          </w:p>
        </w:tc>
      </w:tr>
      <w:tr w:rsidR="00780CFF" w:rsidRPr="00B71F7B" w14:paraId="351797AA" w14:textId="77777777" w:rsidTr="00B71F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  <w:hideMark/>
          </w:tcPr>
          <w:p w14:paraId="5BECFEE8" w14:textId="5E0C18C0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lastRenderedPageBreak/>
              <w:t>EN.GHG.CO2.LU.OS.MT.CE.AR5</w:t>
            </w:r>
          </w:p>
        </w:tc>
        <w:tc>
          <w:tcPr>
            <w:tcW w:w="7720" w:type="dxa"/>
            <w:noWrap/>
            <w:hideMark/>
          </w:tcPr>
          <w:p w14:paraId="2DFBEF49" w14:textId="111E69BA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net fluxes from LULUCF - Organic Soil (Mt CO2e)</w:t>
            </w:r>
          </w:p>
        </w:tc>
      </w:tr>
      <w:tr w:rsidR="00780CFF" w:rsidRPr="00B71F7B" w14:paraId="5ABF5EFC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65222DEC" w14:textId="56CAAE3B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EN.GHG.CO2.LU.OL.MT.CE.AR5</w:t>
            </w:r>
          </w:p>
        </w:tc>
        <w:tc>
          <w:tcPr>
            <w:tcW w:w="7720" w:type="dxa"/>
            <w:noWrap/>
          </w:tcPr>
          <w:p w14:paraId="6B48966A" w14:textId="388AE6F9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net fluxes from LULUCF - Other Land (Mt CO2e)</w:t>
            </w:r>
          </w:p>
        </w:tc>
      </w:tr>
      <w:tr w:rsidR="00780CFF" w:rsidRPr="00B71F7B" w14:paraId="119F1AA5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7AABDAC3" w14:textId="43CBBA9E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EN.GHG.CO2.LU.MT.CE.AR5</w:t>
            </w:r>
          </w:p>
        </w:tc>
        <w:tc>
          <w:tcPr>
            <w:tcW w:w="7720" w:type="dxa"/>
            <w:noWrap/>
          </w:tcPr>
          <w:p w14:paraId="2DF4564A" w14:textId="79C32945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net fluxes from LULUCF - Total (Mt CO2e)</w:t>
            </w:r>
          </w:p>
        </w:tc>
      </w:tr>
      <w:tr w:rsidR="00780CFF" w:rsidRPr="00B71F7B" w14:paraId="4560B6DF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1FCDE38A" w14:textId="4F132F28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EN.GHG.ALL.PC.CE.AR5</w:t>
            </w:r>
          </w:p>
        </w:tc>
        <w:tc>
          <w:tcPr>
            <w:tcW w:w="7720" w:type="dxa"/>
            <w:noWrap/>
          </w:tcPr>
          <w:p w14:paraId="389EF66E" w14:textId="2E04EB5F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greenhouse gas emissions per capita excluding LULUCF (t CO2e/capita)</w:t>
            </w:r>
          </w:p>
        </w:tc>
      </w:tr>
      <w:tr w:rsidR="00780CFF" w:rsidRPr="00B71F7B" w14:paraId="12B8BEEC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2A546BD8" w14:textId="0DC66D30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EN.GHG.CO2.PC.CE.AR5</w:t>
            </w:r>
          </w:p>
        </w:tc>
        <w:tc>
          <w:tcPr>
            <w:tcW w:w="7720" w:type="dxa"/>
            <w:noWrap/>
          </w:tcPr>
          <w:p w14:paraId="03BA075A" w14:textId="263036F0" w:rsidR="00780CFF" w:rsidRPr="0030555F" w:rsidRDefault="0030555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30555F">
              <w:rPr>
                <w:rFonts w:ascii="Calibri" w:hAnsi="Calibri" w:cs="Calibri"/>
                <w:color w:val="000000"/>
                <w:highlight w:val="yellow"/>
              </w:rPr>
              <w:t>Total greenhouse gas emissions excluding LULUCF per capita (t CO2e/capita)</w:t>
            </w:r>
          </w:p>
        </w:tc>
      </w:tr>
      <w:tr w:rsidR="00780CFF" w:rsidRPr="00B71F7B" w14:paraId="002EED9A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54811230" w14:textId="07750C76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EN.GHG.CO2.RT.ELEC.KH</w:t>
            </w:r>
          </w:p>
        </w:tc>
        <w:tc>
          <w:tcPr>
            <w:tcW w:w="7720" w:type="dxa"/>
            <w:noWrap/>
          </w:tcPr>
          <w:p w14:paraId="76A3ACF3" w14:textId="306BB042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intensity of power generation (kg CO2e per kWh)</w:t>
            </w:r>
          </w:p>
        </w:tc>
      </w:tr>
      <w:tr w:rsidR="00780CFF" w:rsidRPr="00B71F7B" w14:paraId="24B6BF06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587293CC" w14:textId="3ACDB053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EN.GHG.CO2.RT.GDP.KD</w:t>
            </w:r>
          </w:p>
        </w:tc>
        <w:tc>
          <w:tcPr>
            <w:tcW w:w="7720" w:type="dxa"/>
            <w:noWrap/>
          </w:tcPr>
          <w:p w14:paraId="3E9CE981" w14:textId="528AA0AD" w:rsidR="00780CFF" w:rsidRPr="00473CB5" w:rsidRDefault="00473CB5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473CB5">
              <w:rPr>
                <w:rFonts w:ascii="Calibri" w:hAnsi="Calibri" w:cs="Calibri"/>
                <w:color w:val="000000"/>
                <w:highlight w:val="yellow"/>
              </w:rPr>
              <w:t>Carbon intensity of GDP (kg CO2e per current US$ of GDP)</w:t>
            </w:r>
          </w:p>
        </w:tc>
      </w:tr>
      <w:tr w:rsidR="00780CFF" w:rsidRPr="00B71F7B" w14:paraId="42398627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11CB15C2" w14:textId="0A6E1989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proofErr w:type="gramStart"/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EN.GHG.CO2.RT.GDP.PP.KD</w:t>
            </w:r>
            <w:proofErr w:type="gramEnd"/>
          </w:p>
        </w:tc>
        <w:tc>
          <w:tcPr>
            <w:tcW w:w="7720" w:type="dxa"/>
            <w:noWrap/>
          </w:tcPr>
          <w:p w14:paraId="370E7F61" w14:textId="3CD655A4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intensity of GDP (kg CO2e per 2021 PPP $)</w:t>
            </w:r>
          </w:p>
        </w:tc>
      </w:tr>
      <w:tr w:rsidR="00780CFF" w:rsidRPr="00B71F7B" w14:paraId="73DA205A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095DA866" w14:textId="05A04940" w:rsidR="00780CFF" w:rsidRPr="00E0377C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E037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EN.GHG.TOT.ZG.AR5</w:t>
            </w:r>
          </w:p>
        </w:tc>
        <w:tc>
          <w:tcPr>
            <w:tcW w:w="7720" w:type="dxa"/>
            <w:noWrap/>
          </w:tcPr>
          <w:p w14:paraId="6912086D" w14:textId="7126D977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greenhouse gas emissions excluding LULUCF (% change from 1990)</w:t>
            </w:r>
          </w:p>
        </w:tc>
      </w:tr>
      <w:tr w:rsidR="00780CFF" w:rsidRPr="00B71F7B" w14:paraId="1E8FFFF6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148B31AB" w14:textId="7A71936D" w:rsidR="00780CFF" w:rsidRPr="001B7ABD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1B7AB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EN.GHG.CO2.ZG.AR5</w:t>
            </w:r>
          </w:p>
        </w:tc>
        <w:tc>
          <w:tcPr>
            <w:tcW w:w="7720" w:type="dxa"/>
            <w:noWrap/>
          </w:tcPr>
          <w:p w14:paraId="3AFD32BB" w14:textId="7231BDB2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Carbon dioxide (CO2) emissions (total) excluding LULUCF (% change from 1990)</w:t>
            </w:r>
          </w:p>
        </w:tc>
      </w:tr>
      <w:tr w:rsidR="00780CFF" w:rsidRPr="00B71F7B" w14:paraId="1CC511E8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155B338C" w14:textId="794754AA" w:rsidR="00780CFF" w:rsidRPr="001B7ABD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1B7AB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EN.GHG.CH4.ZG.AR5</w:t>
            </w:r>
          </w:p>
        </w:tc>
        <w:tc>
          <w:tcPr>
            <w:tcW w:w="7720" w:type="dxa"/>
            <w:noWrap/>
          </w:tcPr>
          <w:p w14:paraId="66D537A8" w14:textId="4087F977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(CH4) emissions (total) excluding LULUCF (% change from 1990)</w:t>
            </w:r>
          </w:p>
        </w:tc>
      </w:tr>
      <w:tr w:rsidR="00780CFF" w:rsidRPr="00B71F7B" w14:paraId="1014885A" w14:textId="77777777" w:rsidTr="00780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noWrap/>
          </w:tcPr>
          <w:p w14:paraId="4F4CBE02" w14:textId="3B7A1FE0" w:rsidR="00780CFF" w:rsidRPr="001B7ABD" w:rsidRDefault="00780CFF" w:rsidP="00780CF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1B7AB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EN.GHG.N2O.ZG.AR5</w:t>
            </w:r>
          </w:p>
        </w:tc>
        <w:tc>
          <w:tcPr>
            <w:tcW w:w="7720" w:type="dxa"/>
            <w:noWrap/>
          </w:tcPr>
          <w:p w14:paraId="4E222C91" w14:textId="57259F74" w:rsidR="00780CFF" w:rsidRPr="00B71F7B" w:rsidRDefault="00780CFF" w:rsidP="0078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Nitrous oxide (N2O) emissions (total) excluding LULUCF (% change from 1990)</w:t>
            </w:r>
          </w:p>
        </w:tc>
      </w:tr>
    </w:tbl>
    <w:p w14:paraId="7B30A890" w14:textId="77777777" w:rsidR="00B71F7B" w:rsidRDefault="00B71F7B" w:rsidP="00F2616B">
      <w:p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</w:pPr>
    </w:p>
    <w:p w14:paraId="151B0EC1" w14:textId="6F611222" w:rsidR="00B71F7B" w:rsidRPr="00877AE8" w:rsidRDefault="00877AE8" w:rsidP="00877AE8">
      <w:pPr>
        <w:pStyle w:val="ListParagraph"/>
        <w:numPr>
          <w:ilvl w:val="0"/>
          <w:numId w:val="2"/>
        </w:numPr>
        <w:spacing w:after="0" w:line="240" w:lineRule="auto"/>
        <w:ind w:right="75"/>
        <w:jc w:val="both"/>
        <w:textAlignment w:val="baseline"/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</w:pPr>
      <w:r w:rsidRPr="00877AE8"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Removed</w:t>
      </w:r>
    </w:p>
    <w:p w14:paraId="73D35D6C" w14:textId="77777777" w:rsidR="004A4D83" w:rsidRDefault="004A4D83" w:rsidP="00F2616B">
      <w:pPr>
        <w:spacing w:after="0" w:line="240" w:lineRule="auto"/>
        <w:ind w:right="75"/>
        <w:jc w:val="both"/>
        <w:textAlignment w:val="baseline"/>
      </w:pPr>
    </w:p>
    <w:tbl>
      <w:tblPr>
        <w:tblStyle w:val="GridTable1Light"/>
        <w:tblW w:w="14027" w:type="dxa"/>
        <w:tblLook w:val="06A0" w:firstRow="1" w:lastRow="0" w:firstColumn="1" w:lastColumn="0" w:noHBand="1" w:noVBand="1"/>
      </w:tblPr>
      <w:tblGrid>
        <w:gridCol w:w="2471"/>
        <w:gridCol w:w="11609"/>
      </w:tblGrid>
      <w:tr w:rsidR="004A4D83" w:rsidRPr="004A4D83" w14:paraId="71211380" w14:textId="77777777" w:rsidTr="004A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46F540F8" w14:textId="1A443C19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Series Code</w:t>
            </w:r>
          </w:p>
        </w:tc>
        <w:tc>
          <w:tcPr>
            <w:tcW w:w="11609" w:type="dxa"/>
            <w:noWrap/>
          </w:tcPr>
          <w:p w14:paraId="49CA4E0D" w14:textId="46C23C76" w:rsidR="004A4D83" w:rsidRPr="004A4D83" w:rsidRDefault="004A4D83" w:rsidP="004A4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F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Indicator Name</w:t>
            </w:r>
          </w:p>
        </w:tc>
      </w:tr>
      <w:tr w:rsidR="004A4D83" w:rsidRPr="004A4D83" w14:paraId="149B4F88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1CF5F9FB" w14:textId="453B4B8C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EN.ATM.GHGT.</w:t>
            </w: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KT.CE</w:t>
            </w:r>
            <w:proofErr w:type="gramEnd"/>
          </w:p>
        </w:tc>
        <w:tc>
          <w:tcPr>
            <w:tcW w:w="11609" w:type="dxa"/>
            <w:noWrap/>
            <w:hideMark/>
          </w:tcPr>
          <w:p w14:paraId="2383DBFD" w14:textId="0ECE174C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greenhouse gas emissions (thousand metric tons of CO2 equivalent excluding Land-Use Change and Forestry)</w:t>
            </w:r>
          </w:p>
        </w:tc>
      </w:tr>
      <w:tr w:rsidR="004A4D83" w:rsidRPr="004A4D83" w14:paraId="3C4A60A2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2546C6FC" w14:textId="41FBCD56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</w:t>
            </w: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E.KT</w:t>
            </w:r>
            <w:proofErr w:type="gramEnd"/>
          </w:p>
        </w:tc>
        <w:tc>
          <w:tcPr>
            <w:tcW w:w="11609" w:type="dxa"/>
            <w:noWrap/>
            <w:hideMark/>
          </w:tcPr>
          <w:p w14:paraId="274C7C54" w14:textId="7401352E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CO2 emissions (thousand metric tons of CO2 excluding Land-Use Change and Forestry)</w:t>
            </w:r>
          </w:p>
        </w:tc>
      </w:tr>
      <w:tr w:rsidR="004A4D83" w:rsidRPr="004A4D83" w14:paraId="337DD65B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0C69F096" w14:textId="0B57D483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EN.ATM.CO2E.GF.KT</w:t>
            </w:r>
          </w:p>
        </w:tc>
        <w:tc>
          <w:tcPr>
            <w:tcW w:w="11609" w:type="dxa"/>
            <w:noWrap/>
          </w:tcPr>
          <w:p w14:paraId="573F53C7" w14:textId="43805ACA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from gaseous fuel consumption (kt)</w:t>
            </w:r>
          </w:p>
        </w:tc>
      </w:tr>
      <w:tr w:rsidR="004A4D83" w:rsidRPr="004A4D83" w14:paraId="4F6C63FC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7D952B75" w14:textId="2E27CFE0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EN.ATM.CO2E.GF.ZS</w:t>
            </w:r>
          </w:p>
        </w:tc>
        <w:tc>
          <w:tcPr>
            <w:tcW w:w="11609" w:type="dxa"/>
            <w:noWrap/>
            <w:hideMark/>
          </w:tcPr>
          <w:p w14:paraId="5EB135DE" w14:textId="485E8BB5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from gaseous fuel consumption (% of total)</w:t>
            </w:r>
          </w:p>
        </w:tc>
      </w:tr>
      <w:tr w:rsidR="004A4D83" w:rsidRPr="004A4D83" w14:paraId="63CE8D35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0C448853" w14:textId="6E227598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EN.ATM.CO2E.LF.KT</w:t>
            </w:r>
          </w:p>
        </w:tc>
        <w:tc>
          <w:tcPr>
            <w:tcW w:w="11609" w:type="dxa"/>
            <w:noWrap/>
            <w:hideMark/>
          </w:tcPr>
          <w:p w14:paraId="3C2EA075" w14:textId="3B063610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from liquid fuel consumption (kt)</w:t>
            </w:r>
          </w:p>
        </w:tc>
      </w:tr>
      <w:tr w:rsidR="004A4D83" w:rsidRPr="004A4D83" w14:paraId="0BCBF4B9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060C08E4" w14:textId="7854E8BD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EN.ATM.CO2E.LF.ZS</w:t>
            </w:r>
          </w:p>
        </w:tc>
        <w:tc>
          <w:tcPr>
            <w:tcW w:w="11609" w:type="dxa"/>
            <w:noWrap/>
            <w:hideMark/>
          </w:tcPr>
          <w:p w14:paraId="16BDD61E" w14:textId="6C718E32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from liquid fuel consumption (% of total)</w:t>
            </w:r>
          </w:p>
        </w:tc>
      </w:tr>
      <w:tr w:rsidR="004A4D83" w:rsidRPr="004A4D83" w14:paraId="435E193C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2A781D0C" w14:textId="5B6917F6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EN.ATM.CO2E.SF.KT</w:t>
            </w:r>
          </w:p>
        </w:tc>
        <w:tc>
          <w:tcPr>
            <w:tcW w:w="11609" w:type="dxa"/>
            <w:noWrap/>
            <w:hideMark/>
          </w:tcPr>
          <w:p w14:paraId="5CFF25E8" w14:textId="69C925AF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from solid fuel consumption (kt)</w:t>
            </w:r>
          </w:p>
        </w:tc>
      </w:tr>
      <w:tr w:rsidR="004A4D83" w:rsidRPr="004A4D83" w14:paraId="4A9F0A94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0BFAF87A" w14:textId="64B7AB4D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EN.ATM.CO2E.SF.ZS</w:t>
            </w:r>
          </w:p>
        </w:tc>
        <w:tc>
          <w:tcPr>
            <w:tcW w:w="11609" w:type="dxa"/>
            <w:noWrap/>
            <w:hideMark/>
          </w:tcPr>
          <w:p w14:paraId="361B2674" w14:textId="7533850E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from solid fuel consumption (% of total)</w:t>
            </w:r>
          </w:p>
        </w:tc>
      </w:tr>
      <w:tr w:rsidR="004A4D83" w:rsidRPr="004A4D83" w14:paraId="23580720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5265B2D2" w14:textId="5484735B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EN.CO2.BLDG.ZS</w:t>
            </w:r>
            <w:proofErr w:type="gramEnd"/>
          </w:p>
        </w:tc>
        <w:tc>
          <w:tcPr>
            <w:tcW w:w="11609" w:type="dxa"/>
            <w:noWrap/>
            <w:hideMark/>
          </w:tcPr>
          <w:p w14:paraId="228A0113" w14:textId="784A3AE7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from residential buildings and commercial and public services (% of total fuel combustion)</w:t>
            </w:r>
          </w:p>
        </w:tc>
      </w:tr>
      <w:tr w:rsidR="004A4D83" w:rsidRPr="004A4D83" w14:paraId="3983F2FF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03162C92" w14:textId="52C2AFBF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EN.CO2.ETOT.ZS</w:t>
            </w:r>
            <w:proofErr w:type="gramEnd"/>
          </w:p>
        </w:tc>
        <w:tc>
          <w:tcPr>
            <w:tcW w:w="11609" w:type="dxa"/>
            <w:noWrap/>
            <w:hideMark/>
          </w:tcPr>
          <w:p w14:paraId="04B89DA2" w14:textId="11DD07BC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from electricity and heat production, total (% of total fuel combustion)</w:t>
            </w:r>
          </w:p>
        </w:tc>
      </w:tr>
      <w:tr w:rsidR="004A4D83" w:rsidRPr="004A4D83" w14:paraId="2841BB49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160DF261" w14:textId="677E6680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EN.CO2.MANF.ZS</w:t>
            </w:r>
            <w:proofErr w:type="gramEnd"/>
          </w:p>
        </w:tc>
        <w:tc>
          <w:tcPr>
            <w:tcW w:w="11609" w:type="dxa"/>
            <w:noWrap/>
            <w:hideMark/>
          </w:tcPr>
          <w:p w14:paraId="30181DF3" w14:textId="772F26F8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from manufacturing industries and construction (% of total fuel combustion)</w:t>
            </w:r>
          </w:p>
        </w:tc>
      </w:tr>
      <w:tr w:rsidR="004A4D83" w:rsidRPr="004A4D83" w14:paraId="6E7D1D00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7CBAA859" w14:textId="66F6FC91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EN.CO2.OTHX.ZS</w:t>
            </w:r>
            <w:proofErr w:type="gramEnd"/>
          </w:p>
        </w:tc>
        <w:tc>
          <w:tcPr>
            <w:tcW w:w="11609" w:type="dxa"/>
            <w:noWrap/>
          </w:tcPr>
          <w:p w14:paraId="1FD94D74" w14:textId="2C4425E9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from other sectors, excluding residential buildings and commercial and public services (% of total fuel combustion)</w:t>
            </w:r>
          </w:p>
        </w:tc>
      </w:tr>
      <w:tr w:rsidR="004A4D83" w:rsidRPr="004A4D83" w14:paraId="1F85DB5C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50CE7C3D" w14:textId="4D6F3050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EN.CO2.TRAN.ZS</w:t>
            </w:r>
            <w:proofErr w:type="gramEnd"/>
          </w:p>
        </w:tc>
        <w:tc>
          <w:tcPr>
            <w:tcW w:w="11609" w:type="dxa"/>
            <w:noWrap/>
          </w:tcPr>
          <w:p w14:paraId="1C811817" w14:textId="3D9D50A5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from transport (% of total fuel combustion)</w:t>
            </w:r>
          </w:p>
        </w:tc>
      </w:tr>
      <w:tr w:rsidR="004A4D83" w:rsidRPr="004A4D83" w14:paraId="6ED1A211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6D3D2A51" w14:textId="4DC07FE6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EN.ATM.METH.</w:t>
            </w: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KT.CE</w:t>
            </w:r>
            <w:proofErr w:type="gramEnd"/>
          </w:p>
        </w:tc>
        <w:tc>
          <w:tcPr>
            <w:tcW w:w="11609" w:type="dxa"/>
            <w:noWrap/>
          </w:tcPr>
          <w:p w14:paraId="5E8D53B8" w14:textId="6CF77E95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methane emissions (thousand metric tons of CO2 equivalent excluding Land-Use Change and Forestry)</w:t>
            </w:r>
          </w:p>
        </w:tc>
      </w:tr>
      <w:tr w:rsidR="004A4D83" w:rsidRPr="004A4D83" w14:paraId="2224BCC5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7B43596A" w14:textId="6DC006C6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EN.ATM.METH.AG.KT.CE</w:t>
            </w:r>
            <w:proofErr w:type="gramEnd"/>
          </w:p>
        </w:tc>
        <w:tc>
          <w:tcPr>
            <w:tcW w:w="11609" w:type="dxa"/>
            <w:noWrap/>
          </w:tcPr>
          <w:p w14:paraId="61CA1F6E" w14:textId="7AD0C274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Agricultural methane emissions (thousand metric tons of CO2 equivalent)</w:t>
            </w:r>
          </w:p>
        </w:tc>
      </w:tr>
      <w:tr w:rsidR="004A4D83" w:rsidRPr="004A4D83" w14:paraId="1B2573EB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4EE80939" w14:textId="77777777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EN.ATM.METH.EG.KT.CE</w:t>
            </w:r>
            <w:proofErr w:type="gramEnd"/>
          </w:p>
        </w:tc>
        <w:tc>
          <w:tcPr>
            <w:tcW w:w="11609" w:type="dxa"/>
            <w:noWrap/>
            <w:hideMark/>
          </w:tcPr>
          <w:p w14:paraId="36B6BAB5" w14:textId="77777777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emissions in energy sector (thousand metric tons of CO2 equivalent)</w:t>
            </w:r>
          </w:p>
        </w:tc>
      </w:tr>
      <w:tr w:rsidR="004A4D83" w:rsidRPr="004A4D83" w14:paraId="4F0CB57E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06DCC0C3" w14:textId="77777777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09" w:type="dxa"/>
            <w:noWrap/>
            <w:hideMark/>
          </w:tcPr>
          <w:p w14:paraId="5DDBA9C4" w14:textId="77777777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A4D83" w:rsidRPr="004A4D83" w14:paraId="0C43F949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359B9531" w14:textId="77777777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EN.ATM.NOXE.</w:t>
            </w: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KT.CE</w:t>
            </w:r>
            <w:proofErr w:type="gramEnd"/>
          </w:p>
        </w:tc>
        <w:tc>
          <w:tcPr>
            <w:tcW w:w="11609" w:type="dxa"/>
            <w:noWrap/>
            <w:hideMark/>
          </w:tcPr>
          <w:p w14:paraId="2CB73A4A" w14:textId="77777777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nitrous oxide emissions (thousand metric tons of CO2 equivalent excluding Land-Use Change and Forestry)</w:t>
            </w:r>
          </w:p>
        </w:tc>
      </w:tr>
      <w:tr w:rsidR="004A4D83" w:rsidRPr="004A4D83" w14:paraId="008D57AB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26BF152D" w14:textId="77777777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EN.ATM.NOXE.AG.KT.CE</w:t>
            </w:r>
            <w:proofErr w:type="gramEnd"/>
          </w:p>
        </w:tc>
        <w:tc>
          <w:tcPr>
            <w:tcW w:w="11609" w:type="dxa"/>
            <w:noWrap/>
            <w:hideMark/>
          </w:tcPr>
          <w:p w14:paraId="0B9C26E8" w14:textId="77777777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Agricultural nitrous oxide emissions (thousand metric tons of CO2 equivalent)</w:t>
            </w:r>
          </w:p>
        </w:tc>
      </w:tr>
      <w:tr w:rsidR="004A4D83" w:rsidRPr="004A4D83" w14:paraId="62941450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4968F63D" w14:textId="36BD2123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EN.ATM.NOXE.EG.KT.CE</w:t>
            </w:r>
            <w:proofErr w:type="gramEnd"/>
          </w:p>
        </w:tc>
        <w:tc>
          <w:tcPr>
            <w:tcW w:w="11609" w:type="dxa"/>
            <w:noWrap/>
            <w:hideMark/>
          </w:tcPr>
          <w:p w14:paraId="5ABB6810" w14:textId="10AD102A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Nitrous oxide emissions in energy sector (thousand metric tons of CO2 equivalent)</w:t>
            </w:r>
          </w:p>
        </w:tc>
      </w:tr>
      <w:tr w:rsidR="004A4D83" w:rsidRPr="004A4D83" w14:paraId="3911CC21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65DC2D7B" w14:textId="22EF3ED6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EN.ATM.GHGO.</w:t>
            </w: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KT.CE</w:t>
            </w:r>
            <w:proofErr w:type="gramEnd"/>
          </w:p>
        </w:tc>
        <w:tc>
          <w:tcPr>
            <w:tcW w:w="11609" w:type="dxa"/>
            <w:noWrap/>
            <w:hideMark/>
          </w:tcPr>
          <w:p w14:paraId="4AC9C184" w14:textId="4F4A65D1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 greenhouse gas emissions, HFC, PFC and SF6 (thousand metric tons of CO2 equivalent)</w:t>
            </w:r>
          </w:p>
        </w:tc>
      </w:tr>
      <w:tr w:rsidR="004A4D83" w:rsidRPr="004A4D83" w14:paraId="60F551BB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7AD0EC65" w14:textId="7430E71A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EN.ATM.PFCG.</w:t>
            </w: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KT.CE</w:t>
            </w:r>
            <w:proofErr w:type="gramEnd"/>
          </w:p>
        </w:tc>
        <w:tc>
          <w:tcPr>
            <w:tcW w:w="11609" w:type="dxa"/>
            <w:noWrap/>
            <w:hideMark/>
          </w:tcPr>
          <w:p w14:paraId="3C09D9CD" w14:textId="131ECB08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PFC gas emissions (thousand metric tons of CO2 equivalent)</w:t>
            </w:r>
          </w:p>
        </w:tc>
      </w:tr>
      <w:tr w:rsidR="004A4D83" w:rsidRPr="004A4D83" w14:paraId="24C485C5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3E4D5EFB" w14:textId="1F5FABAE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EN.ATM.SF6G.</w:t>
            </w: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KT.CE</w:t>
            </w:r>
            <w:proofErr w:type="gramEnd"/>
          </w:p>
        </w:tc>
        <w:tc>
          <w:tcPr>
            <w:tcW w:w="11609" w:type="dxa"/>
            <w:noWrap/>
            <w:hideMark/>
          </w:tcPr>
          <w:p w14:paraId="39419A2D" w14:textId="3449E769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SF6 gas emissions (thousand metric tons of CO2 equivalent)</w:t>
            </w:r>
          </w:p>
        </w:tc>
      </w:tr>
      <w:tr w:rsidR="004A4D83" w:rsidRPr="004A4D83" w14:paraId="7CF2F292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224C8CBE" w14:textId="123F7FA3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EN.ATM.HFCG.</w:t>
            </w: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KT.CE</w:t>
            </w:r>
            <w:proofErr w:type="gramEnd"/>
          </w:p>
        </w:tc>
        <w:tc>
          <w:tcPr>
            <w:tcW w:w="11609" w:type="dxa"/>
            <w:noWrap/>
            <w:hideMark/>
          </w:tcPr>
          <w:p w14:paraId="6DC01502" w14:textId="2910578C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HFC gas emissions (thousand metric tons of CO2 equivalent)</w:t>
            </w:r>
          </w:p>
        </w:tc>
      </w:tr>
      <w:tr w:rsidR="004A4D83" w:rsidRPr="004A4D83" w14:paraId="0EBC8796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  <w:hideMark/>
          </w:tcPr>
          <w:p w14:paraId="0F50CD31" w14:textId="5785C021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EN.CLC.GHGR.MT.CE</w:t>
            </w:r>
          </w:p>
        </w:tc>
        <w:tc>
          <w:tcPr>
            <w:tcW w:w="11609" w:type="dxa"/>
            <w:noWrap/>
            <w:hideMark/>
          </w:tcPr>
          <w:p w14:paraId="29DC97E9" w14:textId="41288DC7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GHG net emissions removals by LUCF (Mt of CO2 equivalent)</w:t>
            </w:r>
          </w:p>
        </w:tc>
      </w:tr>
      <w:tr w:rsidR="004A4D83" w:rsidRPr="004A4D83" w14:paraId="2391487E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71AA32F9" w14:textId="4BD3D253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</w:t>
            </w: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E.PC</w:t>
            </w:r>
            <w:proofErr w:type="gramEnd"/>
          </w:p>
        </w:tc>
        <w:tc>
          <w:tcPr>
            <w:tcW w:w="11609" w:type="dxa"/>
            <w:noWrap/>
          </w:tcPr>
          <w:p w14:paraId="29725E1D" w14:textId="18389B7D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(metric tons per capita)</w:t>
            </w:r>
          </w:p>
        </w:tc>
      </w:tr>
      <w:tr w:rsidR="004A4D83" w:rsidRPr="004A4D83" w14:paraId="30FC8A7D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1796C7F7" w14:textId="4EB1BC03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EN.ATM.CO2E.EG.ZS</w:t>
            </w:r>
          </w:p>
        </w:tc>
        <w:tc>
          <w:tcPr>
            <w:tcW w:w="11609" w:type="dxa"/>
            <w:noWrap/>
          </w:tcPr>
          <w:p w14:paraId="0E821F6E" w14:textId="1386A25F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intensity (kg per kg of oil equivalent energy use)</w:t>
            </w:r>
          </w:p>
        </w:tc>
      </w:tr>
      <w:tr w:rsidR="004A4D83" w:rsidRPr="004A4D83" w14:paraId="398388E0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6359BAD8" w14:textId="2F0FE3D7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EN.ATM.CO2E.KD.GD</w:t>
            </w:r>
          </w:p>
        </w:tc>
        <w:tc>
          <w:tcPr>
            <w:tcW w:w="11609" w:type="dxa"/>
            <w:noWrap/>
          </w:tcPr>
          <w:p w14:paraId="0461DDB8" w14:textId="0FA473F8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(kg per 2017 US$ of GDP)</w:t>
            </w:r>
          </w:p>
        </w:tc>
      </w:tr>
      <w:tr w:rsidR="004A4D83" w:rsidRPr="004A4D83" w14:paraId="1AAA26C4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0626D996" w14:textId="3301A1CC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EN.ATM.CO2E.PP.GD</w:t>
            </w:r>
          </w:p>
        </w:tc>
        <w:tc>
          <w:tcPr>
            <w:tcW w:w="11609" w:type="dxa"/>
            <w:noWrap/>
          </w:tcPr>
          <w:p w14:paraId="1B760BAA" w14:textId="60A8EB7F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(kg per PPP $ of GDP)</w:t>
            </w:r>
          </w:p>
        </w:tc>
      </w:tr>
      <w:tr w:rsidR="004A4D83" w:rsidRPr="004A4D83" w14:paraId="22C019F9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0C9DF4EA" w14:textId="4B5F3F8D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EN.ATM.CO2E.PP.GD.KD</w:t>
            </w:r>
          </w:p>
        </w:tc>
        <w:tc>
          <w:tcPr>
            <w:tcW w:w="11609" w:type="dxa"/>
            <w:noWrap/>
          </w:tcPr>
          <w:p w14:paraId="22C961F8" w14:textId="2015EAF4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CO2 emissions (kg per 2017 PPP $ of GDP)</w:t>
            </w:r>
          </w:p>
        </w:tc>
      </w:tr>
      <w:tr w:rsidR="004A4D83" w:rsidRPr="004A4D83" w14:paraId="3CA34ED5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3EB125BF" w14:textId="03E3473F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EN.ATM.NOXE.AG.ZS</w:t>
            </w:r>
          </w:p>
        </w:tc>
        <w:tc>
          <w:tcPr>
            <w:tcW w:w="11609" w:type="dxa"/>
            <w:noWrap/>
          </w:tcPr>
          <w:p w14:paraId="2D01E462" w14:textId="4130DCA1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Agricultural nitrous oxide emissions (% of total)</w:t>
            </w:r>
          </w:p>
        </w:tc>
      </w:tr>
      <w:tr w:rsidR="004A4D83" w:rsidRPr="004A4D83" w14:paraId="73603F44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601402F1" w14:textId="0A8CF4CB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EN.ATM.NOXE.EG.ZS</w:t>
            </w:r>
          </w:p>
        </w:tc>
        <w:tc>
          <w:tcPr>
            <w:tcW w:w="11609" w:type="dxa"/>
            <w:noWrap/>
          </w:tcPr>
          <w:p w14:paraId="7AC1AEEA" w14:textId="5C97BD3A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Nitrous oxide emissions in energy sector (% of total)</w:t>
            </w:r>
          </w:p>
        </w:tc>
      </w:tr>
      <w:tr w:rsidR="004A4D83" w:rsidRPr="004A4D83" w14:paraId="18E2E3ED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4E680212" w14:textId="44433DBA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EN.ATM.METH.EG.ZS</w:t>
            </w:r>
          </w:p>
        </w:tc>
        <w:tc>
          <w:tcPr>
            <w:tcW w:w="11609" w:type="dxa"/>
            <w:noWrap/>
          </w:tcPr>
          <w:p w14:paraId="07245BD0" w14:textId="62A3D25F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Energy related methane emissions (% of total)</w:t>
            </w:r>
          </w:p>
        </w:tc>
      </w:tr>
      <w:tr w:rsidR="004A4D83" w:rsidRPr="004A4D83" w14:paraId="0993666D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534EB8C3" w14:textId="41CA837E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EN.ATM.METH.AG.ZS</w:t>
            </w:r>
          </w:p>
        </w:tc>
        <w:tc>
          <w:tcPr>
            <w:tcW w:w="11609" w:type="dxa"/>
            <w:noWrap/>
          </w:tcPr>
          <w:p w14:paraId="0E12FD7D" w14:textId="112351B7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Agricultural methane emissions (% of total)</w:t>
            </w:r>
          </w:p>
        </w:tc>
      </w:tr>
      <w:tr w:rsidR="004A4D83" w:rsidRPr="004A4D83" w14:paraId="36A51272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76CD180B" w14:textId="1302A443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EN.ATM.GHGT.ZG</w:t>
            </w:r>
            <w:proofErr w:type="gramEnd"/>
          </w:p>
        </w:tc>
        <w:tc>
          <w:tcPr>
            <w:tcW w:w="11609" w:type="dxa"/>
            <w:noWrap/>
          </w:tcPr>
          <w:p w14:paraId="352063E5" w14:textId="67645C74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greenhouse gas emissions (% change from 1990)</w:t>
            </w:r>
          </w:p>
        </w:tc>
      </w:tr>
      <w:tr w:rsidR="004A4D83" w:rsidRPr="004A4D83" w14:paraId="2893FBA8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75C1797A" w14:textId="103BBE3D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EN.ATM.METH.ZG</w:t>
            </w:r>
            <w:proofErr w:type="gramEnd"/>
          </w:p>
        </w:tc>
        <w:tc>
          <w:tcPr>
            <w:tcW w:w="11609" w:type="dxa"/>
            <w:noWrap/>
          </w:tcPr>
          <w:p w14:paraId="1A5E23E6" w14:textId="5EFDD372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Methane emissions (% change from 1990)</w:t>
            </w:r>
          </w:p>
        </w:tc>
      </w:tr>
      <w:tr w:rsidR="004A4D83" w:rsidRPr="004A4D83" w14:paraId="3E320B1A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502A3259" w14:textId="4AA5997A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EN.ATM.NOXE.ZG</w:t>
            </w:r>
            <w:proofErr w:type="gramEnd"/>
          </w:p>
        </w:tc>
        <w:tc>
          <w:tcPr>
            <w:tcW w:w="11609" w:type="dxa"/>
            <w:noWrap/>
          </w:tcPr>
          <w:p w14:paraId="7DDA63C2" w14:textId="4DFDA7B9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Nitrous oxide emissions (% change from 1990)</w:t>
            </w:r>
          </w:p>
        </w:tc>
      </w:tr>
      <w:tr w:rsidR="004A4D83" w:rsidRPr="004A4D83" w14:paraId="625823A1" w14:textId="77777777" w:rsidTr="004A4D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noWrap/>
          </w:tcPr>
          <w:p w14:paraId="20E0C794" w14:textId="17184C36" w:rsidR="004A4D83" w:rsidRPr="004A4D83" w:rsidRDefault="004A4D83" w:rsidP="004A4D8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EN.ATM.GHGO.ZG</w:t>
            </w:r>
            <w:proofErr w:type="gramEnd"/>
          </w:p>
        </w:tc>
        <w:tc>
          <w:tcPr>
            <w:tcW w:w="11609" w:type="dxa"/>
            <w:noWrap/>
          </w:tcPr>
          <w:p w14:paraId="6A553827" w14:textId="1A306B97" w:rsidR="004A4D83" w:rsidRPr="004A4D83" w:rsidRDefault="004A4D83" w:rsidP="004A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4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 greenhouse gas emissions (% change from 1990)</w:t>
            </w:r>
          </w:p>
        </w:tc>
      </w:tr>
    </w:tbl>
    <w:p w14:paraId="28ADB9AE" w14:textId="77777777" w:rsidR="004A4D83" w:rsidRPr="00F2616B" w:rsidRDefault="004A4D83" w:rsidP="00F2616B">
      <w:pPr>
        <w:spacing w:after="0" w:line="240" w:lineRule="auto"/>
        <w:ind w:right="75"/>
        <w:jc w:val="both"/>
        <w:textAlignment w:val="baseline"/>
      </w:pPr>
    </w:p>
    <w:sectPr w:rsidR="004A4D83" w:rsidRPr="00F2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33C9" w14:textId="77777777" w:rsidR="0045515A" w:rsidRDefault="0045515A" w:rsidP="006D3354">
      <w:pPr>
        <w:spacing w:after="0" w:line="240" w:lineRule="auto"/>
      </w:pPr>
      <w:r>
        <w:separator/>
      </w:r>
    </w:p>
  </w:endnote>
  <w:endnote w:type="continuationSeparator" w:id="0">
    <w:p w14:paraId="595185E2" w14:textId="77777777" w:rsidR="0045515A" w:rsidRDefault="0045515A" w:rsidP="006D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4234D" w14:textId="77777777" w:rsidR="0045515A" w:rsidRDefault="0045515A" w:rsidP="006D3354">
      <w:pPr>
        <w:spacing w:after="0" w:line="240" w:lineRule="auto"/>
      </w:pPr>
      <w:r>
        <w:separator/>
      </w:r>
    </w:p>
  </w:footnote>
  <w:footnote w:type="continuationSeparator" w:id="0">
    <w:p w14:paraId="4C6D8B1D" w14:textId="77777777" w:rsidR="0045515A" w:rsidRDefault="0045515A" w:rsidP="006D3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DE0"/>
    <w:multiLevelType w:val="multilevel"/>
    <w:tmpl w:val="821E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DE44BE"/>
    <w:multiLevelType w:val="hybridMultilevel"/>
    <w:tmpl w:val="CDEA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83369"/>
    <w:multiLevelType w:val="hybridMultilevel"/>
    <w:tmpl w:val="0896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61903">
    <w:abstractNumId w:val="0"/>
  </w:num>
  <w:num w:numId="2" w16cid:durableId="396250603">
    <w:abstractNumId w:val="2"/>
  </w:num>
  <w:num w:numId="3" w16cid:durableId="153657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6B"/>
    <w:rsid w:val="000100E3"/>
    <w:rsid w:val="00011577"/>
    <w:rsid w:val="00032C8B"/>
    <w:rsid w:val="00035AB1"/>
    <w:rsid w:val="00066DFE"/>
    <w:rsid w:val="000B309A"/>
    <w:rsid w:val="000E4351"/>
    <w:rsid w:val="00107941"/>
    <w:rsid w:val="00107B25"/>
    <w:rsid w:val="00142C3F"/>
    <w:rsid w:val="00153365"/>
    <w:rsid w:val="001A7575"/>
    <w:rsid w:val="001B3890"/>
    <w:rsid w:val="001B7ABD"/>
    <w:rsid w:val="002003BB"/>
    <w:rsid w:val="00201953"/>
    <w:rsid w:val="0030555F"/>
    <w:rsid w:val="00327329"/>
    <w:rsid w:val="003431CE"/>
    <w:rsid w:val="003473B8"/>
    <w:rsid w:val="00350880"/>
    <w:rsid w:val="00374EE0"/>
    <w:rsid w:val="00433547"/>
    <w:rsid w:val="0045515A"/>
    <w:rsid w:val="00461685"/>
    <w:rsid w:val="00473CB5"/>
    <w:rsid w:val="0049652A"/>
    <w:rsid w:val="004A20BB"/>
    <w:rsid w:val="004A4D83"/>
    <w:rsid w:val="004B302E"/>
    <w:rsid w:val="004D4B60"/>
    <w:rsid w:val="004E2E94"/>
    <w:rsid w:val="004F54A7"/>
    <w:rsid w:val="004F6519"/>
    <w:rsid w:val="00515A90"/>
    <w:rsid w:val="00533437"/>
    <w:rsid w:val="00545A90"/>
    <w:rsid w:val="00561201"/>
    <w:rsid w:val="005B5980"/>
    <w:rsid w:val="005C77DF"/>
    <w:rsid w:val="005D5290"/>
    <w:rsid w:val="00682E49"/>
    <w:rsid w:val="006A13D9"/>
    <w:rsid w:val="006B0F26"/>
    <w:rsid w:val="006D3354"/>
    <w:rsid w:val="006F050A"/>
    <w:rsid w:val="00780CFF"/>
    <w:rsid w:val="007C17F2"/>
    <w:rsid w:val="00833ED9"/>
    <w:rsid w:val="008737CF"/>
    <w:rsid w:val="00877AE8"/>
    <w:rsid w:val="008C714A"/>
    <w:rsid w:val="009427F0"/>
    <w:rsid w:val="009D13E6"/>
    <w:rsid w:val="009E62C3"/>
    <w:rsid w:val="00A73C05"/>
    <w:rsid w:val="00A918B1"/>
    <w:rsid w:val="00AC0D0E"/>
    <w:rsid w:val="00AD66D4"/>
    <w:rsid w:val="00AD673D"/>
    <w:rsid w:val="00AF5AFB"/>
    <w:rsid w:val="00B257A7"/>
    <w:rsid w:val="00B70B2B"/>
    <w:rsid w:val="00B71F7B"/>
    <w:rsid w:val="00C05322"/>
    <w:rsid w:val="00C07D8F"/>
    <w:rsid w:val="00C12A4D"/>
    <w:rsid w:val="00C31C25"/>
    <w:rsid w:val="00C36D43"/>
    <w:rsid w:val="00C46015"/>
    <w:rsid w:val="00C82214"/>
    <w:rsid w:val="00CE2E47"/>
    <w:rsid w:val="00CF57A0"/>
    <w:rsid w:val="00D14724"/>
    <w:rsid w:val="00D5336A"/>
    <w:rsid w:val="00DA1A32"/>
    <w:rsid w:val="00DF04A4"/>
    <w:rsid w:val="00E0377C"/>
    <w:rsid w:val="00EA55F7"/>
    <w:rsid w:val="00EC2A87"/>
    <w:rsid w:val="00F06098"/>
    <w:rsid w:val="00F2616B"/>
    <w:rsid w:val="00F2624D"/>
    <w:rsid w:val="00F34B74"/>
    <w:rsid w:val="00F864C5"/>
    <w:rsid w:val="00F90B20"/>
    <w:rsid w:val="00FA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3610"/>
  <w15:chartTrackingRefBased/>
  <w15:docId w15:val="{37A8EDD4-417E-4A4C-BD02-3DE021FF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4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E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4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74EE0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B71F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77A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3ED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3354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354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6D33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76503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gar.jrc.ec.europa.eu/dataset_ghg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4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WBG</Company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Benschop</dc:creator>
  <cp:keywords/>
  <dc:description/>
  <cp:lastModifiedBy>Thijs Benschop</cp:lastModifiedBy>
  <cp:revision>79</cp:revision>
  <dcterms:created xsi:type="dcterms:W3CDTF">2024-10-07T17:00:00Z</dcterms:created>
  <dcterms:modified xsi:type="dcterms:W3CDTF">2024-10-16T17:18:00Z</dcterms:modified>
</cp:coreProperties>
</file>