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4F3B" w14:textId="77777777" w:rsidR="006D235B" w:rsidRDefault="00424851" w:rsidP="000F451E">
      <w:pPr>
        <w:pStyle w:val="Heading1"/>
        <w:jc w:val="center"/>
        <w:rPr>
          <w:b/>
          <w:bCs/>
        </w:rPr>
      </w:pPr>
      <w:r>
        <w:rPr>
          <w:b/>
          <w:bCs/>
        </w:rPr>
        <w:t xml:space="preserve">WDI Indicator </w:t>
      </w:r>
      <w:r w:rsidR="007E6A36">
        <w:rPr>
          <w:b/>
          <w:bCs/>
        </w:rPr>
        <w:t>Inclusion Proposa</w:t>
      </w:r>
      <w:r w:rsidR="006D235B">
        <w:rPr>
          <w:b/>
          <w:bCs/>
        </w:rPr>
        <w:t>l</w:t>
      </w:r>
    </w:p>
    <w:p w14:paraId="5357B235" w14:textId="07865668" w:rsidR="004140E6" w:rsidRPr="00686E59" w:rsidRDefault="006D235B" w:rsidP="000F451E">
      <w:pPr>
        <w:pStyle w:val="Heading1"/>
        <w:jc w:val="center"/>
        <w:rPr>
          <w:rFonts w:eastAsia="Malgun Gothic"/>
          <w:b/>
          <w:bCs/>
          <w:lang w:eastAsia="ko-KR"/>
        </w:rPr>
      </w:pPr>
      <w:r>
        <w:rPr>
          <w:b/>
          <w:bCs/>
        </w:rPr>
        <w:t xml:space="preserve">New </w:t>
      </w:r>
      <w:r w:rsidR="00770034">
        <w:rPr>
          <w:b/>
          <w:bCs/>
        </w:rPr>
        <w:t>Greenhouse Gas Emissions indicators</w:t>
      </w:r>
      <w:r w:rsidR="00583C41">
        <w:rPr>
          <w:b/>
          <w:bCs/>
        </w:rPr>
        <w:t xml:space="preserve"> </w:t>
      </w:r>
      <w:r>
        <w:rPr>
          <w:b/>
          <w:bCs/>
        </w:rPr>
        <w:t xml:space="preserve">from EDGAR and </w:t>
      </w:r>
      <w:r w:rsidR="00971FB6">
        <w:rPr>
          <w:b/>
          <w:bCs/>
        </w:rPr>
        <w:t>Grassi</w:t>
      </w:r>
    </w:p>
    <w:p w14:paraId="79669700" w14:textId="77777777" w:rsidR="002227C7" w:rsidRDefault="002227C7" w:rsidP="00424851"/>
    <w:p w14:paraId="4C236E18" w14:textId="77777777" w:rsidR="00A12DEF" w:rsidRDefault="00577CD2" w:rsidP="00A12DEF">
      <w:pPr>
        <w:pStyle w:val="Heading2"/>
      </w:pPr>
      <w:r>
        <w:t>Proposed indicators</w:t>
      </w:r>
    </w:p>
    <w:p w14:paraId="226A717E" w14:textId="1142CD67" w:rsidR="00577CD2" w:rsidRDefault="00A12DEF" w:rsidP="00A12DEF">
      <w:r>
        <w:t xml:space="preserve">Proposal to replace the current </w:t>
      </w:r>
      <w:r w:rsidR="00D22D1F">
        <w:t xml:space="preserve">37 GHG emissions indicators in WDI by a set of 32 indicators </w:t>
      </w:r>
      <w:r w:rsidR="00AD043A">
        <w:t>using a different data source</w:t>
      </w:r>
      <w:r w:rsidR="00F9517A">
        <w:t xml:space="preserve"> aligning with the CSC </w:t>
      </w:r>
      <w:r w:rsidR="005C4C5D">
        <w:t xml:space="preserve">GHG </w:t>
      </w:r>
      <w:r w:rsidR="00F9517A">
        <w:t>indicators</w:t>
      </w:r>
      <w:r w:rsidR="005C4C5D">
        <w:t>.</w:t>
      </w:r>
    </w:p>
    <w:tbl>
      <w:tblPr>
        <w:tblpPr w:leftFromText="180" w:rightFromText="180" w:vertAnchor="text" w:horzAnchor="page" w:tblpX="1" w:tblpY="16"/>
        <w:tblW w:w="11782" w:type="dxa"/>
        <w:shd w:val="clear" w:color="auto" w:fill="FFFFFF"/>
        <w:tblCellMar>
          <w:top w:w="15" w:type="dxa"/>
          <w:left w:w="15" w:type="dxa"/>
          <w:bottom w:w="15" w:type="dxa"/>
          <w:right w:w="15" w:type="dxa"/>
        </w:tblCellMar>
        <w:tblLook w:val="04A0" w:firstRow="1" w:lastRow="0" w:firstColumn="1" w:lastColumn="0" w:noHBand="0" w:noVBand="1"/>
      </w:tblPr>
      <w:tblGrid>
        <w:gridCol w:w="333"/>
        <w:gridCol w:w="2184"/>
        <w:gridCol w:w="3345"/>
        <w:gridCol w:w="2235"/>
        <w:gridCol w:w="1980"/>
        <w:gridCol w:w="1705"/>
      </w:tblGrid>
      <w:tr w:rsidR="007077FA" w:rsidRPr="00971FB6" w14:paraId="67590CD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53BDE51C" w14:textId="6E7E3A7C" w:rsidR="007077FA" w:rsidRPr="00014087" w:rsidRDefault="007077FA" w:rsidP="001241CB">
            <w:pPr>
              <w:spacing w:after="0" w:line="240" w:lineRule="auto"/>
              <w:jc w:val="right"/>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No.</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tcPr>
          <w:p w14:paraId="370B5703" w14:textId="122FC1D8" w:rsidR="007077FA" w:rsidRPr="00014087" w:rsidRDefault="00D40E7E" w:rsidP="001241CB">
            <w:pPr>
              <w:spacing w:after="0" w:line="240" w:lineRule="auto"/>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Proposed indicator code</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tcPr>
          <w:p w14:paraId="4915EC59" w14:textId="10EB474C" w:rsidR="007077FA" w:rsidRPr="00014087" w:rsidRDefault="00D40E7E" w:rsidP="001241CB">
            <w:pPr>
              <w:spacing w:after="0" w:line="240" w:lineRule="auto"/>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Proposed indicator name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tcPr>
          <w:p w14:paraId="6918FF80" w14:textId="44A40E33" w:rsidR="007077FA" w:rsidRPr="00014087" w:rsidRDefault="00D40E7E" w:rsidP="001241CB">
            <w:pPr>
              <w:spacing w:after="0" w:line="240" w:lineRule="auto"/>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Gas</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tcPr>
          <w:p w14:paraId="7F0EC449" w14:textId="45376EF3" w:rsidR="007077FA" w:rsidRPr="00014087" w:rsidRDefault="00D40E7E" w:rsidP="001241CB">
            <w:pPr>
              <w:spacing w:after="0" w:line="240" w:lineRule="auto"/>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Sector</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tcPr>
          <w:p w14:paraId="748D2F35" w14:textId="622AAA19" w:rsidR="007077FA" w:rsidRPr="00014087" w:rsidRDefault="00D40E7E" w:rsidP="001241CB">
            <w:pPr>
              <w:spacing w:after="0" w:line="240" w:lineRule="auto"/>
              <w:rPr>
                <w:rFonts w:ascii="Segoe UI" w:eastAsia="Times New Roman" w:hAnsi="Segoe UI" w:cs="Segoe UI"/>
                <w:b/>
                <w:bCs/>
                <w:color w:val="212529"/>
                <w:sz w:val="18"/>
                <w:szCs w:val="18"/>
              </w:rPr>
            </w:pPr>
            <w:r w:rsidRPr="00014087">
              <w:rPr>
                <w:rFonts w:ascii="Segoe UI" w:eastAsia="Times New Roman" w:hAnsi="Segoe UI" w:cs="Segoe UI"/>
                <w:b/>
                <w:bCs/>
                <w:color w:val="212529"/>
                <w:sz w:val="18"/>
                <w:szCs w:val="18"/>
              </w:rPr>
              <w:t>Type</w:t>
            </w:r>
          </w:p>
        </w:tc>
      </w:tr>
      <w:tr w:rsidR="00B60278" w:rsidRPr="00971FB6" w14:paraId="6890AFF3"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4AD71E70"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9B77E43"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EN.GHG.TOTL.</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F73A66F"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(Total excluding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2C4BEDA" w14:textId="106A8D69"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00014087" w:rsidRPr="00B0025F">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0DA7275"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765D45D"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7105EDFB"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1BAF803"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2</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CC952CC"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w:t>
            </w:r>
            <w:proofErr w:type="gramStart"/>
            <w:r w:rsidRPr="00971FB6">
              <w:rPr>
                <w:rFonts w:ascii="Segoe UI" w:eastAsia="Times New Roman" w:hAnsi="Segoe UI" w:cs="Segoe UI"/>
                <w:color w:val="212529"/>
                <w:sz w:val="18"/>
                <w:szCs w:val="18"/>
              </w:rPr>
              <w:t>E.KT</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27A2F6E"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(Total excluding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47A683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6FC532D"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90FDFB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3E6EF92F"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0B879E1D"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3</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CC96F9C"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EN.GHG.METH.</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6CBB2E7"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(Total excluding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F9B0BE1"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A2386EA"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FFB8020"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46EDC39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425A4456"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4</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BFC5CEE"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EN.GHG.NOXE.</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B85C717"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Nitrous Oxide (N2O) (Total excluding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63392C7"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3929277"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909C595"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6B2B410E"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2A7639C0"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5</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4923AD1"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EN.GHG.FGAS.</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8E7230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Fluorinated Gases (Total excluding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637280B" w14:textId="6DDA0BC0"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FGASES (AR</w:t>
            </w:r>
            <w:r w:rsidR="00014087">
              <w:rPr>
                <w:rFonts w:ascii="Segoe UI" w:eastAsia="Times New Roman" w:hAnsi="Segoe UI" w:cs="Segoe UI"/>
                <w:color w:val="212529"/>
                <w:sz w:val="18"/>
                <w:szCs w:val="18"/>
              </w:rPr>
              <w:t>5</w:t>
            </w:r>
            <w:r w:rsidRPr="00971FB6">
              <w:rPr>
                <w:rFonts w:ascii="Segoe UI" w:eastAsia="Times New Roman" w:hAnsi="Segoe UI" w:cs="Segoe UI"/>
                <w:color w:val="212529"/>
                <w:sz w:val="18"/>
                <w:szCs w:val="18"/>
              </w:rPr>
              <w:t>GWP100)</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D0814CC"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A12B80A"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2A69879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56BA5BA"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6</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DC1C349" w14:textId="77777777" w:rsidR="007077FA" w:rsidRPr="00971FB6" w:rsidRDefault="007077FA" w:rsidP="001241CB">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EN.GHG.TOTL.AG.KT.CE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D6DA4F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(Sector = Agriculture)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25E11E4" w14:textId="1994D17E"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00014087" w:rsidRPr="00B0025F">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DE104DC"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Agriculture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C844C21"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06AE253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2D83CAEE"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7</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40CD7D7" w14:textId="77777777" w:rsidR="007077FA" w:rsidRPr="00971FB6" w:rsidRDefault="007077FA" w:rsidP="001241CB">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EN.GHG.TOTL.EG.KT.CE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BC1229A"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(Sector = Energy)</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B59636E" w14:textId="0D700DC6"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00014087" w:rsidRPr="00B0025F">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F486BF8"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Energy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862F06B"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B60278" w:rsidRPr="00971FB6" w14:paraId="2DFE9EFA"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61D6A1FE" w14:textId="77777777" w:rsidR="007077FA" w:rsidRPr="00971FB6" w:rsidRDefault="007077FA" w:rsidP="001241CB">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8</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2118683" w14:textId="77777777" w:rsidR="007077FA" w:rsidRPr="00971FB6" w:rsidRDefault="007077FA" w:rsidP="001241CB">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EN.GHG.TOTL.IN.KT.CE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561FF0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(Sector = Industrial Processes and Product Use)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B813BD5" w14:textId="3C426A0F"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00014087" w:rsidRPr="00B0025F">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7E14334"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Industrial Processes and Product Use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7DC0026" w14:textId="77777777" w:rsidR="007077FA" w:rsidRPr="00971FB6" w:rsidRDefault="007077FA" w:rsidP="001241CB">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6D715FC6"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6A7C661E" w14:textId="34E37D6F"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r>
              <w:rPr>
                <w:rFonts w:ascii="Segoe UI" w:eastAsia="Times New Roman" w:hAnsi="Segoe UI" w:cs="Segoe UI"/>
                <w:color w:val="212529"/>
                <w:sz w:val="18"/>
                <w:szCs w:val="18"/>
              </w:rPr>
              <w:t>9</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tcPr>
          <w:p w14:paraId="41668622" w14:textId="164FD90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EN.GHG.TOTL.WA.</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tcPr>
          <w:p w14:paraId="15349C26" w14:textId="1045A2E2"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Greenhouse gas emissions: All Kyoto Gases (Sector = Waste)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tcPr>
          <w:p w14:paraId="1E571075" w14:textId="5A867A90"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Pr="00B0025F">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tcPr>
          <w:p w14:paraId="0D1F2A41" w14:textId="7418C492"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Waste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tcPr>
          <w:p w14:paraId="7FA4B99B" w14:textId="753A0235"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absolute emissions</w:t>
            </w:r>
          </w:p>
        </w:tc>
      </w:tr>
      <w:tr w:rsidR="006D593F" w:rsidRPr="00971FB6" w14:paraId="18CE7383"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C25A940" w14:textId="512ADCCF"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BDABA37"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EN.GHG.TOTL.OT.</w:t>
            </w:r>
            <w:proofErr w:type="gramStart"/>
            <w:r w:rsidRPr="00971FB6">
              <w:rPr>
                <w:rFonts w:ascii="Segoe UI" w:eastAsia="Times New Roman" w:hAnsi="Segoe UI" w:cs="Segoe UI"/>
                <w:strike/>
                <w:color w:val="D9D9D9" w:themeColor="background1" w:themeShade="D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126B223"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Greenhouse gas emissions: All Kyoto Gases (Sector = Other)</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48CC0C2" w14:textId="1A864502"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KYOTOGHG (AR</w:t>
            </w:r>
            <w:r w:rsidRPr="00A56C57">
              <w:rPr>
                <w:rFonts w:ascii="Segoe UI" w:eastAsia="Times New Roman" w:hAnsi="Segoe UI" w:cs="Segoe UI"/>
                <w:strike/>
                <w:color w:val="D9D9D9" w:themeColor="background1" w:themeShade="D9"/>
                <w:sz w:val="18"/>
                <w:szCs w:val="18"/>
              </w:rPr>
              <w:t>5</w:t>
            </w:r>
            <w:r w:rsidRPr="00971FB6">
              <w:rPr>
                <w:rFonts w:ascii="Segoe UI" w:eastAsia="Times New Roman" w:hAnsi="Segoe UI" w:cs="Segoe UI"/>
                <w:strike/>
                <w:color w:val="D9D9D9" w:themeColor="background1" w:themeShade="D9"/>
                <w:sz w:val="18"/>
                <w:szCs w:val="18"/>
              </w:rPr>
              <w:t>GWP100)</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6CB965D"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Other</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B5436FD"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745C14B7"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AB1D3C6" w14:textId="7128B5DA"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10</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3165EC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EN.GHG.CO2E.AG.KT</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C3D9D2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(Sector = Agriculture)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2C1C95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F56CE7A"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Agriculture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03BE20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48253CAA"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0B93A453" w14:textId="329B4303"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11</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A13B0BC"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EN.GHG.CO2E.EG.KT</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06FF90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(Sector = Energy)</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2B2895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64BC718"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Energy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4219A3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3A841255"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57953121" w14:textId="42C84654"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12</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18AA3F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EN.GHG.CO2E.IN.KT</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EC21B6C"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(Sector = Industrial Processes and Product Use)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7A2B10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76E85F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Industrial Processes and Product Use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615B9C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51D9316A"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6E243A8F" w14:textId="4369DAEC"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r w:rsidRPr="00971FB6">
              <w:rPr>
                <w:rFonts w:ascii="Segoe UI" w:eastAsia="Times New Roman" w:hAnsi="Segoe UI" w:cs="Segoe UI"/>
                <w:color w:val="212529"/>
                <w:sz w:val="18"/>
                <w:szCs w:val="18"/>
              </w:rPr>
              <w:t>1</w:t>
            </w:r>
            <w:r>
              <w:rPr>
                <w:rFonts w:ascii="Segoe UI" w:eastAsia="Times New Roman" w:hAnsi="Segoe UI" w:cs="Segoe UI"/>
                <w:color w:val="212529"/>
                <w:sz w:val="18"/>
                <w:szCs w:val="18"/>
              </w:rPr>
              <w:t>3</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tcPr>
          <w:p w14:paraId="7EE76121" w14:textId="4F00586A"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EN.GHG.CO2E.</w:t>
            </w:r>
            <w:proofErr w:type="gramStart"/>
            <w:r w:rsidRPr="00971FB6">
              <w:rPr>
                <w:rFonts w:ascii="Segoe UI" w:eastAsia="Times New Roman" w:hAnsi="Segoe UI" w:cs="Segoe UI"/>
                <w:color w:val="212529"/>
                <w:sz w:val="18"/>
                <w:szCs w:val="18"/>
              </w:rPr>
              <w:t>WA.KT</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tcPr>
          <w:p w14:paraId="0D861F76" w14:textId="5B4CBBB0"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Greenhouse gas emissions: Carbon Dioxide (CO2) (Sector = Waste)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tcPr>
          <w:p w14:paraId="6D7197B4" w14:textId="29C93F55"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tcPr>
          <w:p w14:paraId="39D5CA2E" w14:textId="288F650A"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Waste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tcPr>
          <w:p w14:paraId="59BA0EDE" w14:textId="2023FD36"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absolute emissions</w:t>
            </w:r>
          </w:p>
        </w:tc>
      </w:tr>
      <w:tr w:rsidR="006D593F" w:rsidRPr="00971FB6" w14:paraId="72A63E52"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7C00C09" w14:textId="7465CAAA"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D9AA836"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EN.GHG.CO2E.</w:t>
            </w:r>
            <w:proofErr w:type="gramStart"/>
            <w:r w:rsidRPr="00971FB6">
              <w:rPr>
                <w:rFonts w:ascii="Segoe UI" w:eastAsia="Times New Roman" w:hAnsi="Segoe UI" w:cs="Segoe UI"/>
                <w:strike/>
                <w:color w:val="D9D9D9" w:themeColor="background1" w:themeShade="D9"/>
                <w:sz w:val="18"/>
                <w:szCs w:val="18"/>
              </w:rPr>
              <w:t>OT.KT</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133EBAB"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Greenhouse gas emissions: Carbon Dioxide (CO2) (Sector = Other)</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FE4E6F9"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B7DAEDC"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Other</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FA9DD94"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036AEFD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2D8DFA74" w14:textId="7A2001D7"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w:t>
            </w:r>
            <w:r>
              <w:rPr>
                <w:rFonts w:ascii="Segoe UI" w:eastAsia="Times New Roman" w:hAnsi="Segoe UI" w:cs="Segoe UI"/>
                <w:color w:val="212529"/>
                <w:sz w:val="18"/>
                <w:szCs w:val="18"/>
              </w:rPr>
              <w:t>4</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ACDEE5C"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EN.GHG.METH.AG.KT.CE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93E1E6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(Sector = Agriculture)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F224817"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13463E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Agriculture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1EAAFE6"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5A0E6DE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38809494" w14:textId="71ED9DE0"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1</w:t>
            </w:r>
            <w:r>
              <w:rPr>
                <w:rFonts w:ascii="Segoe UI" w:eastAsia="Times New Roman" w:hAnsi="Segoe UI" w:cs="Segoe UI"/>
                <w:color w:val="212529"/>
                <w:sz w:val="18"/>
                <w:szCs w:val="18"/>
              </w:rPr>
              <w:t>5</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7D0BA72"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EN.GHG.METH.EG.KT.CE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D8D8898"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(Sector = Energy)</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9BE1F9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DCF8F32"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Energy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EB53DB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62A390F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69BF702" w14:textId="68DEC7FF"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lastRenderedPageBreak/>
              <w:t>1</w:t>
            </w:r>
            <w:r>
              <w:rPr>
                <w:rFonts w:ascii="Segoe UI" w:eastAsia="Times New Roman" w:hAnsi="Segoe UI" w:cs="Segoe UI"/>
                <w:color w:val="212529"/>
                <w:sz w:val="18"/>
                <w:szCs w:val="18"/>
              </w:rPr>
              <w:t>6</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86006BB"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EN.GHG.METH.IN.KT.CE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6EF0946"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(Sector = Industrial Processes and Product Use)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B43BE5C"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0EABA0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Industrial Processes and Product Use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7F0240B"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1601451C"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3D9867D7" w14:textId="7C308EED"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r>
              <w:rPr>
                <w:rFonts w:ascii="Segoe UI" w:eastAsia="Times New Roman" w:hAnsi="Segoe UI" w:cs="Segoe UI"/>
                <w:color w:val="212529"/>
                <w:sz w:val="18"/>
                <w:szCs w:val="18"/>
              </w:rPr>
              <w:t>17</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tcPr>
          <w:p w14:paraId="1AD470E2" w14:textId="6DE81F51"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EN.GHG.METH.WA.</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tcPr>
          <w:p w14:paraId="62FB5668" w14:textId="7D066520"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Greenhouse gas emissions: Methane (CH4) (Sector = Waste)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tcPr>
          <w:p w14:paraId="5F2EB87C" w14:textId="796282D2"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tcPr>
          <w:p w14:paraId="1E684BAF" w14:textId="5341986A"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Waste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tcPr>
          <w:p w14:paraId="222C3BDD" w14:textId="16810A8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absolute emissions</w:t>
            </w:r>
          </w:p>
        </w:tc>
      </w:tr>
      <w:tr w:rsidR="006D593F" w:rsidRPr="00971FB6" w14:paraId="08106464"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37FE1ACB" w14:textId="69E52F84"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A56B244"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EN.GHG.METH.OT.</w:t>
            </w:r>
            <w:proofErr w:type="gramStart"/>
            <w:r w:rsidRPr="00971FB6">
              <w:rPr>
                <w:rFonts w:ascii="Segoe UI" w:eastAsia="Times New Roman" w:hAnsi="Segoe UI" w:cs="Segoe UI"/>
                <w:strike/>
                <w:color w:val="D9D9D9" w:themeColor="background1" w:themeShade="D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B01B058"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Greenhouse gas emissions: Methane (CH4) (Sector = Other)</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AD71168"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7C3C322"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Other</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C21CF0A"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71110004"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214B1CE7" w14:textId="3A1D5C38"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18</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9A0A075"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EN.GHG.NOXE.AG.KT.CE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238A0D8" w14:textId="77777777" w:rsidR="006D593F" w:rsidRPr="00971FB6" w:rsidRDefault="006D593F" w:rsidP="006D593F">
            <w:pPr>
              <w:spacing w:after="0" w:line="240" w:lineRule="auto"/>
              <w:rPr>
                <w:rFonts w:ascii="Segoe UI" w:eastAsia="Times New Roman" w:hAnsi="Segoe UI" w:cs="Segoe UI"/>
                <w:color w:val="212529"/>
                <w:sz w:val="18"/>
                <w:szCs w:val="18"/>
                <w:lang w:val="pt-BR"/>
              </w:rPr>
            </w:pPr>
            <w:r w:rsidRPr="00971FB6">
              <w:rPr>
                <w:rFonts w:ascii="Segoe UI" w:eastAsia="Times New Roman" w:hAnsi="Segoe UI" w:cs="Segoe UI"/>
                <w:color w:val="212529"/>
                <w:sz w:val="18"/>
                <w:szCs w:val="18"/>
                <w:lang w:val="pt-BR"/>
              </w:rPr>
              <w:t>Greenhouse gas emissions: Nitrous Oxide (N2O) (Sector = Agriculture)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17F2701" w14:textId="43D301DC"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608357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Agriculture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3F820D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08064E23"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343A9BD4" w14:textId="25376EF6"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19</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778EFF4"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EN.GHG.NOXE.EG.KT.CE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59A389D" w14:textId="77777777" w:rsidR="006D593F" w:rsidRPr="00971FB6" w:rsidRDefault="006D593F" w:rsidP="006D593F">
            <w:pPr>
              <w:spacing w:after="0" w:line="240" w:lineRule="auto"/>
              <w:rPr>
                <w:rFonts w:ascii="Segoe UI" w:eastAsia="Times New Roman" w:hAnsi="Segoe UI" w:cs="Segoe UI"/>
                <w:color w:val="212529"/>
                <w:sz w:val="18"/>
                <w:szCs w:val="18"/>
                <w:lang w:val="pt-BR"/>
              </w:rPr>
            </w:pPr>
            <w:r w:rsidRPr="00971FB6">
              <w:rPr>
                <w:rFonts w:ascii="Segoe UI" w:eastAsia="Times New Roman" w:hAnsi="Segoe UI" w:cs="Segoe UI"/>
                <w:color w:val="212529"/>
                <w:sz w:val="18"/>
                <w:szCs w:val="18"/>
                <w:lang w:val="pt-BR"/>
              </w:rPr>
              <w:t>Greenhouse gas emissions: Nitrous Oxide (N2O) (Sector = Energy)</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87A91C4" w14:textId="10FB2A0B"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136BE8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Energy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C3929D3"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4AC24181"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4F036F4" w14:textId="12D329E5"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2</w:t>
            </w:r>
            <w:r>
              <w:rPr>
                <w:rFonts w:ascii="Segoe UI" w:eastAsia="Times New Roman" w:hAnsi="Segoe UI" w:cs="Segoe UI"/>
                <w:color w:val="212529"/>
                <w:sz w:val="18"/>
                <w:szCs w:val="18"/>
              </w:rPr>
              <w:t>0</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E792F38"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EN.GHG.NOXE.IN.KT.CE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A15457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Nitrous Oxide (N2O) (Sector = Industrial Processes and Product Use)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D17DDEC" w14:textId="2BBB2BDE"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7A976D6"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Industrial Processes and Product Use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B40A9E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56C4A278"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545D2CDA" w14:textId="22B3E133"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r w:rsidRPr="00971FB6">
              <w:rPr>
                <w:rFonts w:ascii="Segoe UI" w:eastAsia="Times New Roman" w:hAnsi="Segoe UI" w:cs="Segoe UI"/>
                <w:color w:val="212529"/>
                <w:sz w:val="18"/>
                <w:szCs w:val="18"/>
              </w:rPr>
              <w:t>2</w:t>
            </w:r>
            <w:r>
              <w:rPr>
                <w:rFonts w:ascii="Segoe UI" w:eastAsia="Times New Roman" w:hAnsi="Segoe UI" w:cs="Segoe UI"/>
                <w:color w:val="212529"/>
                <w:sz w:val="18"/>
                <w:szCs w:val="18"/>
              </w:rPr>
              <w:t>1</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tcPr>
          <w:p w14:paraId="158E9C29" w14:textId="69D32230"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EN.GHG.NOXE.WA.</w:t>
            </w:r>
            <w:proofErr w:type="gramStart"/>
            <w:r w:rsidRPr="00971FB6">
              <w:rPr>
                <w:rFonts w:ascii="Segoe UI" w:eastAsia="Times New Roman" w:hAnsi="Segoe UI" w:cs="Segoe UI"/>
                <w:color w:val="21252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tcPr>
          <w:p w14:paraId="1B099921" w14:textId="63D38246"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Greenhouse gas emissions: Nitrous Oxide (N2O) (Sector = Waste)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tcPr>
          <w:p w14:paraId="5A443E5C" w14:textId="6D80F0A6"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tcPr>
          <w:p w14:paraId="0719322E" w14:textId="6FFF904E"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Waste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tcPr>
          <w:p w14:paraId="6CA6D19F" w14:textId="3A4FEC75"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color w:val="212529"/>
                <w:sz w:val="18"/>
                <w:szCs w:val="18"/>
              </w:rPr>
              <w:t>absolute emissions</w:t>
            </w:r>
          </w:p>
        </w:tc>
      </w:tr>
      <w:tr w:rsidR="006D593F" w:rsidRPr="00971FB6" w14:paraId="0A2C8EA8"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957DC1D" w14:textId="38BE823A"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AA40DBD"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EN.GHG.NOXE.OT.</w:t>
            </w:r>
            <w:proofErr w:type="gramStart"/>
            <w:r w:rsidRPr="00971FB6">
              <w:rPr>
                <w:rFonts w:ascii="Segoe UI" w:eastAsia="Times New Roman" w:hAnsi="Segoe UI" w:cs="Segoe UI"/>
                <w:strike/>
                <w:color w:val="D9D9D9" w:themeColor="background1" w:themeShade="D9"/>
                <w:sz w:val="18"/>
                <w:szCs w:val="18"/>
              </w:rPr>
              <w:t>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2AFF741"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Greenhouse gas emissions: Nitrous Oxide (N2O) (Sector = Other)</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3AD7286"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N2O</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00F4677"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Other</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50EF727"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780CD49B"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0BBAFDEA" w14:textId="5ECEF1E3"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2</w:t>
            </w:r>
            <w:r>
              <w:rPr>
                <w:rFonts w:ascii="Segoe UI" w:eastAsia="Times New Roman" w:hAnsi="Segoe UI" w:cs="Segoe UI"/>
                <w:color w:val="212529"/>
                <w:sz w:val="18"/>
                <w:szCs w:val="18"/>
              </w:rPr>
              <w:t>2</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FABBF52"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EN.GHG.FGAS.IN.KT.CE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AD760F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Fluorinated Gases (Sector = Industrial Processes and Product Use)</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3AEC136" w14:textId="161741DE"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FGASES (</w:t>
            </w:r>
            <w:r w:rsidRPr="00971FB6">
              <w:rPr>
                <w:rFonts w:ascii="Segoe UI" w:eastAsia="Times New Roman" w:hAnsi="Segoe UI" w:cs="Segoe UI"/>
                <w:b/>
                <w:bCs/>
                <w:color w:val="212529"/>
                <w:sz w:val="18"/>
                <w:szCs w:val="18"/>
              </w:rPr>
              <w:t>AR</w:t>
            </w:r>
            <w:r w:rsidRPr="00CE5BBA">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2370F47"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Industrial Processes and Product Use</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5520EC1" w14:textId="49FB004C"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w:t>
            </w:r>
          </w:p>
        </w:tc>
      </w:tr>
      <w:tr w:rsidR="006D593F" w:rsidRPr="00971FB6" w14:paraId="7CDE51F4"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F453DFD" w14:textId="7C0D4C5E"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2</w:t>
            </w:r>
            <w:r>
              <w:rPr>
                <w:rFonts w:ascii="Segoe UI" w:eastAsia="Times New Roman" w:hAnsi="Segoe UI" w:cs="Segoe UI"/>
                <w:color w:val="212529"/>
                <w:sz w:val="18"/>
                <w:szCs w:val="18"/>
              </w:rPr>
              <w:t>3</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E67DA2B"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EN.GHG.CO2E.LU.KT.CE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129737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(Sector =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E409AB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F7D291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Land Use, Land Use Change, and Forestry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F9D33E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absolute emissions</w:t>
            </w:r>
          </w:p>
        </w:tc>
      </w:tr>
      <w:tr w:rsidR="006D593F" w:rsidRPr="00971FB6" w14:paraId="605EC312" w14:textId="77777777" w:rsidTr="00683EE0">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77FB00D6" w14:textId="7F96B4F2"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35C140A"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proofErr w:type="gramStart"/>
            <w:r w:rsidRPr="00971FB6">
              <w:rPr>
                <w:rFonts w:ascii="Segoe UI" w:eastAsia="Times New Roman" w:hAnsi="Segoe UI" w:cs="Segoe UI"/>
                <w:strike/>
                <w:color w:val="D9D9D9" w:themeColor="background1" w:themeShade="D9"/>
                <w:sz w:val="18"/>
                <w:szCs w:val="18"/>
              </w:rPr>
              <w:t>EN.GHG.METH.LU.KT.CE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E79BF0B"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Greenhouse gas emissions: Methane (CH4) (Sector =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FA2C2C5"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CH4</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216B4C3"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Land Use, Land Use Change, and Forestry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C219BB1"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491F150F" w14:textId="77777777" w:rsidTr="00683EE0">
        <w:tc>
          <w:tcPr>
            <w:tcW w:w="0" w:type="auto"/>
            <w:tcBorders>
              <w:top w:val="single" w:sz="2" w:space="0" w:color="auto"/>
              <w:left w:val="single" w:sz="2" w:space="0" w:color="auto"/>
              <w:bottom w:val="single" w:sz="6" w:space="0" w:color="D3D8DC"/>
              <w:right w:val="single" w:sz="2" w:space="0" w:color="auto"/>
            </w:tcBorders>
            <w:shd w:val="clear" w:color="auto" w:fill="FFFFFF"/>
            <w:vAlign w:val="center"/>
          </w:tcPr>
          <w:p w14:paraId="2E6E676D" w14:textId="53A8ABDD" w:rsidR="006D593F" w:rsidRPr="00971FB6" w:rsidRDefault="006D593F" w:rsidP="006D593F">
            <w:pPr>
              <w:spacing w:after="0" w:line="240" w:lineRule="auto"/>
              <w:jc w:val="right"/>
              <w:rPr>
                <w:rFonts w:ascii="Segoe UI" w:eastAsia="Times New Roman" w:hAnsi="Segoe UI" w:cs="Segoe UI"/>
                <w:color w:val="D9D9D9" w:themeColor="background1" w:themeShade="D9"/>
                <w:sz w:val="18"/>
                <w:szCs w:val="18"/>
              </w:rPr>
            </w:pP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C828AED"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proofErr w:type="gramStart"/>
            <w:r w:rsidRPr="00971FB6">
              <w:rPr>
                <w:rFonts w:ascii="Segoe UI" w:eastAsia="Times New Roman" w:hAnsi="Segoe UI" w:cs="Segoe UI"/>
                <w:strike/>
                <w:color w:val="D9D9D9" w:themeColor="background1" w:themeShade="D9"/>
                <w:sz w:val="18"/>
                <w:szCs w:val="18"/>
              </w:rPr>
              <w:t>EN.GHG.NOXE.LU.KT.CE</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7188722"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lang w:val="pt-BR"/>
              </w:rPr>
            </w:pPr>
            <w:r w:rsidRPr="00971FB6">
              <w:rPr>
                <w:rFonts w:ascii="Segoe UI" w:eastAsia="Times New Roman" w:hAnsi="Segoe UI" w:cs="Segoe UI"/>
                <w:strike/>
                <w:color w:val="D9D9D9" w:themeColor="background1" w:themeShade="D9"/>
                <w:sz w:val="18"/>
                <w:szCs w:val="18"/>
                <w:lang w:val="pt-BR"/>
              </w:rPr>
              <w:t>Greenhouse gas emissions: Nitrous Oxide (N2O) (Sector = LULUCF)</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304DF72"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N2O</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CFCE5D2"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Land Use, Land Use Change, and Forestry</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D094EC0" w14:textId="77777777" w:rsidR="006D593F" w:rsidRPr="00971FB6" w:rsidRDefault="006D593F" w:rsidP="006D593F">
            <w:pPr>
              <w:spacing w:after="0" w:line="240" w:lineRule="auto"/>
              <w:rPr>
                <w:rFonts w:ascii="Segoe UI" w:eastAsia="Times New Roman" w:hAnsi="Segoe UI" w:cs="Segoe UI"/>
                <w:strike/>
                <w:color w:val="D9D9D9" w:themeColor="background1" w:themeShade="D9"/>
                <w:sz w:val="18"/>
                <w:szCs w:val="18"/>
              </w:rPr>
            </w:pPr>
            <w:r w:rsidRPr="00971FB6">
              <w:rPr>
                <w:rFonts w:ascii="Segoe UI" w:eastAsia="Times New Roman" w:hAnsi="Segoe UI" w:cs="Segoe UI"/>
                <w:strike/>
                <w:color w:val="D9D9D9" w:themeColor="background1" w:themeShade="D9"/>
                <w:sz w:val="18"/>
                <w:szCs w:val="18"/>
              </w:rPr>
              <w:t>absolute emissions</w:t>
            </w:r>
          </w:p>
        </w:tc>
      </w:tr>
      <w:tr w:rsidR="006D593F" w:rsidRPr="00971FB6" w14:paraId="077B9F80"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4877BD36" w14:textId="0F9EF324"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24</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4A29583"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EN.GHG.TOTL.PC</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C4E94B6"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(Total excluding LULUCF) per capita</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DABE6F4" w14:textId="15469833"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Pr="00CE5BBA">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6C7FA8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0E1F4D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per capita</w:t>
            </w:r>
          </w:p>
        </w:tc>
      </w:tr>
      <w:tr w:rsidR="006D593F" w:rsidRPr="00971FB6" w14:paraId="014F91C7"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2CA2A37B" w14:textId="4E096832"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25</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6665F13"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w:t>
            </w:r>
            <w:proofErr w:type="gramStart"/>
            <w:r w:rsidRPr="00971FB6">
              <w:rPr>
                <w:rFonts w:ascii="Segoe UI" w:eastAsia="Times New Roman" w:hAnsi="Segoe UI" w:cs="Segoe UI"/>
                <w:color w:val="212529"/>
                <w:sz w:val="18"/>
                <w:szCs w:val="18"/>
              </w:rPr>
              <w:t>E.PC</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05A615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(Total excluding LULUCF) per capita</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655808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92FA14B"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34B7837"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per capita</w:t>
            </w:r>
          </w:p>
        </w:tc>
      </w:tr>
      <w:tr w:rsidR="006D593F" w:rsidRPr="00971FB6" w14:paraId="7AEA81B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649830D2" w14:textId="143447C1"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26</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D95DB9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EN.GHG.TOTL.PP.GD</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9165838" w14:textId="3D4DD065"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xml:space="preserve">Greenhouse gas emissions: All Kyoto Gases (Total excluding LULUCF) per </w:t>
            </w:r>
            <w:r>
              <w:rPr>
                <w:rFonts w:ascii="Segoe UI" w:eastAsia="Times New Roman" w:hAnsi="Segoe UI" w:cs="Segoe UI"/>
                <w:color w:val="212529"/>
                <w:sz w:val="18"/>
                <w:szCs w:val="18"/>
              </w:rPr>
              <w:t>2021 PPP</w:t>
            </w:r>
            <w:r w:rsidRPr="00971FB6">
              <w:rPr>
                <w:rFonts w:ascii="Segoe UI" w:eastAsia="Times New Roman" w:hAnsi="Segoe UI" w:cs="Segoe UI"/>
                <w:color w:val="212529"/>
                <w:sz w:val="18"/>
                <w:szCs w:val="18"/>
              </w:rPr>
              <w:t xml:space="preserve"> $ of GDP</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9433BCE" w14:textId="4EF5B6B1"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Pr="00CE5BBA">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35A110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14CD09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per GDP</w:t>
            </w:r>
          </w:p>
        </w:tc>
      </w:tr>
      <w:tr w:rsidR="006D593F" w:rsidRPr="00971FB6" w14:paraId="5263BDE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17F8CBF" w14:textId="68ECB4DD"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27</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547480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EN.GHG.CO2E.PP.GD</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AA37A80" w14:textId="21AE061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xml:space="preserve">Greenhouse gas emissions: Carbon Dioxide (CO2) (Total excluding LULUCF) per </w:t>
            </w:r>
            <w:r>
              <w:rPr>
                <w:rFonts w:ascii="Segoe UI" w:eastAsia="Times New Roman" w:hAnsi="Segoe UI" w:cs="Segoe UI"/>
                <w:color w:val="212529"/>
                <w:sz w:val="18"/>
                <w:szCs w:val="18"/>
              </w:rPr>
              <w:t>2021 PPP</w:t>
            </w:r>
            <w:r w:rsidRPr="00971FB6">
              <w:rPr>
                <w:rFonts w:ascii="Segoe UI" w:eastAsia="Times New Roman" w:hAnsi="Segoe UI" w:cs="Segoe UI"/>
                <w:color w:val="212529"/>
                <w:sz w:val="18"/>
                <w:szCs w:val="18"/>
              </w:rPr>
              <w:t xml:space="preserve"> $ of GDP</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C9F7CA7"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D7E121F"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88A080E"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per GDP</w:t>
            </w:r>
          </w:p>
        </w:tc>
      </w:tr>
      <w:tr w:rsidR="006D593F" w:rsidRPr="00971FB6" w14:paraId="72BE9CA3"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4CE9CC9F" w14:textId="0C26C314"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28</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05BBD8A"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EN.GHG.TOTL.ZG</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A831F71"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All Kyoto Gases (Total excluding LULUCF) % change from 1990</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359F064" w14:textId="7540B892"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KYOTOGHG (</w:t>
            </w:r>
            <w:r w:rsidRPr="00971FB6">
              <w:rPr>
                <w:rFonts w:ascii="Segoe UI" w:eastAsia="Times New Roman" w:hAnsi="Segoe UI" w:cs="Segoe UI"/>
                <w:b/>
                <w:bCs/>
                <w:color w:val="212529"/>
                <w:sz w:val="18"/>
                <w:szCs w:val="18"/>
              </w:rPr>
              <w:t>AR</w:t>
            </w:r>
            <w:r w:rsidRPr="00CE5BBA">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C680AF7"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E79690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change</w:t>
            </w:r>
          </w:p>
        </w:tc>
      </w:tr>
      <w:tr w:rsidR="006D593F" w:rsidRPr="00971FB6" w14:paraId="3E9EFE1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58BFF6C" w14:textId="5274C952"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29</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6D27C6B"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w:t>
            </w:r>
            <w:proofErr w:type="gramStart"/>
            <w:r w:rsidRPr="00971FB6">
              <w:rPr>
                <w:rFonts w:ascii="Segoe UI" w:eastAsia="Times New Roman" w:hAnsi="Segoe UI" w:cs="Segoe UI"/>
                <w:color w:val="212529"/>
                <w:sz w:val="18"/>
                <w:szCs w:val="18"/>
              </w:rPr>
              <w:t>E.ZG</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3FBF8D3"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(Total excluding LULUCF) % change from 1990</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4859C55"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4CB2F0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1D76088"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change</w:t>
            </w:r>
          </w:p>
        </w:tc>
      </w:tr>
      <w:tr w:rsidR="006D593F" w:rsidRPr="00971FB6" w14:paraId="1AA37B57"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7486E3DE" w14:textId="56124493"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30</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5E0A3DF"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EN.GHG.METH.ZG</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5FB955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(Total excluding LULUCF) % change from 1990</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F9C7FF8" w14:textId="4F8CBFA2"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1E63FB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927E5B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change</w:t>
            </w:r>
          </w:p>
        </w:tc>
      </w:tr>
      <w:tr w:rsidR="006D593F" w:rsidRPr="00971FB6" w14:paraId="0653A0BD"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0CBF6963" w14:textId="73BE3A25" w:rsidR="006D593F" w:rsidRPr="00971FB6" w:rsidRDefault="006D593F" w:rsidP="006D593F">
            <w:pPr>
              <w:spacing w:after="0" w:line="240" w:lineRule="auto"/>
              <w:jc w:val="right"/>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3</w:t>
            </w:r>
            <w:r>
              <w:rPr>
                <w:rFonts w:ascii="Segoe UI" w:eastAsia="Times New Roman" w:hAnsi="Segoe UI" w:cs="Segoe UI"/>
                <w:color w:val="212529"/>
                <w:sz w:val="18"/>
                <w:szCs w:val="18"/>
              </w:rPr>
              <w:t>1</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63AB7F5"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EN.GHG.N2OX.ZG</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5B0064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Nitrous Oxide (N2O) (Total excluding LULUCF) % change from 1990</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3CEE78B6" w14:textId="59AC91B0"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399B59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AD707D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 change</w:t>
            </w:r>
          </w:p>
        </w:tc>
      </w:tr>
      <w:tr w:rsidR="006D593F" w:rsidRPr="00971FB6" w14:paraId="46341017"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514A34E5" w14:textId="47FC7CC3"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lastRenderedPageBreak/>
              <w:t>32</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6DC24E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EN.GHG.CO2</w:t>
            </w:r>
            <w:proofErr w:type="gramStart"/>
            <w:r w:rsidRPr="00971FB6">
              <w:rPr>
                <w:rFonts w:ascii="Segoe UI" w:eastAsia="Times New Roman" w:hAnsi="Segoe UI" w:cs="Segoe UI"/>
                <w:color w:val="212529"/>
                <w:sz w:val="18"/>
                <w:szCs w:val="18"/>
              </w:rPr>
              <w:t>E.ZS</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680D1D0"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Carbon Dioxide (CO2) (Total excluding LULUCF) share of total GHG emissions</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6FE0A3A" w14:textId="4C5DF024"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CO2</w:t>
            </w:r>
            <w:r w:rsidR="00CE5BBA">
              <w:rPr>
                <w:rFonts w:ascii="Segoe UI" w:eastAsia="Times New Roman" w:hAnsi="Segoe UI" w:cs="Segoe UI"/>
                <w:color w:val="212529"/>
                <w:sz w:val="18"/>
                <w:szCs w:val="18"/>
              </w:rPr>
              <w:t xml:space="preserve"> </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ADB41F8"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87E73FB"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share of total</w:t>
            </w:r>
          </w:p>
        </w:tc>
      </w:tr>
      <w:tr w:rsidR="006D593F" w:rsidRPr="00971FB6" w14:paraId="77D40C08"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565A2D21" w14:textId="08C39BA8"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33</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5C821E9B"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EN.GHG.METH.ZS</w:t>
            </w:r>
            <w:proofErr w:type="gramEnd"/>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6DD156D"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Methane (CH4) (Total excluding LULUCF) share of total GHG emissions</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A8BA666" w14:textId="7F0514FC"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CH4</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0A7B92EA"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1BFD826"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share of total</w:t>
            </w:r>
          </w:p>
        </w:tc>
      </w:tr>
      <w:tr w:rsidR="006D593F" w:rsidRPr="00971FB6" w14:paraId="30E2FC09" w14:textId="77777777" w:rsidTr="00C63DBB">
        <w:tc>
          <w:tcPr>
            <w:tcW w:w="0" w:type="auto"/>
            <w:tcBorders>
              <w:top w:val="single" w:sz="2" w:space="0" w:color="auto"/>
              <w:left w:val="single" w:sz="2" w:space="0" w:color="auto"/>
              <w:bottom w:val="single" w:sz="6" w:space="0" w:color="D3D8DC"/>
              <w:right w:val="single" w:sz="2" w:space="0" w:color="auto"/>
            </w:tcBorders>
            <w:shd w:val="clear" w:color="auto" w:fill="FFFFFF"/>
            <w:vAlign w:val="center"/>
            <w:hideMark/>
          </w:tcPr>
          <w:p w14:paraId="1CDE9422" w14:textId="175A93EF"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34</w:t>
            </w:r>
          </w:p>
        </w:tc>
        <w:tc>
          <w:tcPr>
            <w:tcW w:w="2184"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21E58E55"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EN.GHG.N2OX.ZS</w:t>
            </w:r>
          </w:p>
        </w:tc>
        <w:tc>
          <w:tcPr>
            <w:tcW w:w="334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7E920C45"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Nitrous Oxide (N2O) (Total excluding LULUCF) share of total GHG emissions</w:t>
            </w:r>
          </w:p>
        </w:tc>
        <w:tc>
          <w:tcPr>
            <w:tcW w:w="223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43EDB884" w14:textId="695C0461"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N2O</w:t>
            </w:r>
            <w:r w:rsidR="00CE5BBA">
              <w:rPr>
                <w:rFonts w:ascii="Segoe UI" w:eastAsia="Times New Roman" w:hAnsi="Segoe UI" w:cs="Segoe UI"/>
                <w:color w:val="212529"/>
                <w:sz w:val="18"/>
                <w:szCs w:val="18"/>
              </w:rPr>
              <w:t xml:space="preserve"> </w:t>
            </w:r>
            <w:r w:rsidR="00CE5BBA" w:rsidRPr="00971FB6">
              <w:rPr>
                <w:rFonts w:ascii="Segoe UI" w:eastAsia="Times New Roman" w:hAnsi="Segoe UI" w:cs="Segoe UI"/>
                <w:color w:val="212529"/>
                <w:sz w:val="18"/>
                <w:szCs w:val="18"/>
              </w:rPr>
              <w:t>(</w:t>
            </w:r>
            <w:r w:rsidR="00CE5BBA" w:rsidRPr="00971FB6">
              <w:rPr>
                <w:rFonts w:ascii="Segoe UI" w:eastAsia="Times New Roman" w:hAnsi="Segoe UI" w:cs="Segoe UI"/>
                <w:b/>
                <w:bCs/>
                <w:color w:val="212529"/>
                <w:sz w:val="18"/>
                <w:szCs w:val="18"/>
              </w:rPr>
              <w:t>AR</w:t>
            </w:r>
            <w:r w:rsidR="00CE5BBA" w:rsidRPr="00CE5BBA">
              <w:rPr>
                <w:rFonts w:ascii="Segoe UI" w:eastAsia="Times New Roman" w:hAnsi="Segoe UI" w:cs="Segoe UI"/>
                <w:b/>
                <w:bCs/>
                <w:color w:val="212529"/>
                <w:sz w:val="18"/>
                <w:szCs w:val="18"/>
              </w:rPr>
              <w:t>5</w:t>
            </w:r>
            <w:r w:rsidR="00CE5BBA" w:rsidRPr="00971FB6">
              <w:rPr>
                <w:rFonts w:ascii="Segoe UI" w:eastAsia="Times New Roman" w:hAnsi="Segoe UI" w:cs="Segoe UI"/>
                <w:b/>
                <w:bCs/>
                <w:color w:val="212529"/>
                <w:sz w:val="18"/>
                <w:szCs w:val="18"/>
              </w:rPr>
              <w:t>GWP100</w:t>
            </w:r>
            <w:r w:rsidR="00CE5BBA"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11CC66C3"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D3D8DC"/>
              <w:right w:val="single" w:sz="2" w:space="0" w:color="auto"/>
            </w:tcBorders>
            <w:shd w:val="clear" w:color="auto" w:fill="FFFFFF"/>
            <w:vAlign w:val="center"/>
            <w:hideMark/>
          </w:tcPr>
          <w:p w14:paraId="698F134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share of total</w:t>
            </w:r>
          </w:p>
        </w:tc>
      </w:tr>
      <w:tr w:rsidR="006D593F" w:rsidRPr="00971FB6" w14:paraId="3ECF70F7" w14:textId="77777777" w:rsidTr="00C63DBB">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EEBA111" w14:textId="48AAC836" w:rsidR="006D593F" w:rsidRPr="00971FB6" w:rsidRDefault="006D593F" w:rsidP="006D593F">
            <w:pPr>
              <w:spacing w:after="0" w:line="240" w:lineRule="auto"/>
              <w:jc w:val="right"/>
              <w:rPr>
                <w:rFonts w:ascii="Segoe UI" w:eastAsia="Times New Roman" w:hAnsi="Segoe UI" w:cs="Segoe UI"/>
                <w:color w:val="212529"/>
                <w:sz w:val="18"/>
                <w:szCs w:val="18"/>
              </w:rPr>
            </w:pPr>
            <w:r>
              <w:rPr>
                <w:rFonts w:ascii="Segoe UI" w:eastAsia="Times New Roman" w:hAnsi="Segoe UI" w:cs="Segoe UI"/>
                <w:color w:val="212529"/>
                <w:sz w:val="18"/>
                <w:szCs w:val="18"/>
              </w:rPr>
              <w:t>35</w:t>
            </w:r>
          </w:p>
        </w:tc>
        <w:tc>
          <w:tcPr>
            <w:tcW w:w="218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08EBAB5" w14:textId="77777777" w:rsidR="006D593F" w:rsidRPr="00971FB6" w:rsidRDefault="006D593F" w:rsidP="006D593F">
            <w:pPr>
              <w:spacing w:after="0" w:line="240" w:lineRule="auto"/>
              <w:rPr>
                <w:rFonts w:ascii="Segoe UI" w:eastAsia="Times New Roman" w:hAnsi="Segoe UI" w:cs="Segoe UI"/>
                <w:color w:val="212529"/>
                <w:sz w:val="18"/>
                <w:szCs w:val="18"/>
              </w:rPr>
            </w:pPr>
            <w:proofErr w:type="gramStart"/>
            <w:r w:rsidRPr="00971FB6">
              <w:rPr>
                <w:rFonts w:ascii="Segoe UI" w:eastAsia="Times New Roman" w:hAnsi="Segoe UI" w:cs="Segoe UI"/>
                <w:color w:val="212529"/>
                <w:sz w:val="18"/>
                <w:szCs w:val="18"/>
              </w:rPr>
              <w:t>EN.GHG.FGAS.ZS</w:t>
            </w:r>
            <w:proofErr w:type="gramEnd"/>
          </w:p>
        </w:tc>
        <w:tc>
          <w:tcPr>
            <w:tcW w:w="3345"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E9D67B3"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Greenhouse gas emissions: Fluorinated Gases (Total excluding LULUCF) share of total GHG emissions</w:t>
            </w:r>
          </w:p>
        </w:tc>
        <w:tc>
          <w:tcPr>
            <w:tcW w:w="2235"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7A035D6" w14:textId="04709425"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FGASES (</w:t>
            </w:r>
            <w:r w:rsidRPr="00971FB6">
              <w:rPr>
                <w:rFonts w:ascii="Segoe UI" w:eastAsia="Times New Roman" w:hAnsi="Segoe UI" w:cs="Segoe UI"/>
                <w:b/>
                <w:bCs/>
                <w:color w:val="212529"/>
                <w:sz w:val="18"/>
                <w:szCs w:val="18"/>
              </w:rPr>
              <w:t>AR</w:t>
            </w:r>
            <w:r w:rsidRPr="00CE5BBA">
              <w:rPr>
                <w:rFonts w:ascii="Segoe UI" w:eastAsia="Times New Roman" w:hAnsi="Segoe UI" w:cs="Segoe UI"/>
                <w:b/>
                <w:bCs/>
                <w:color w:val="212529"/>
                <w:sz w:val="18"/>
                <w:szCs w:val="18"/>
              </w:rPr>
              <w:t>5</w:t>
            </w:r>
            <w:r w:rsidRPr="00971FB6">
              <w:rPr>
                <w:rFonts w:ascii="Segoe UI" w:eastAsia="Times New Roman" w:hAnsi="Segoe UI" w:cs="Segoe UI"/>
                <w:b/>
                <w:bCs/>
                <w:color w:val="212529"/>
                <w:sz w:val="18"/>
                <w:szCs w:val="18"/>
              </w:rPr>
              <w:t>GWP100</w:t>
            </w:r>
            <w:r w:rsidRPr="00971FB6">
              <w:rPr>
                <w:rFonts w:ascii="Segoe UI" w:eastAsia="Times New Roman" w:hAnsi="Segoe UI" w:cs="Segoe UI"/>
                <w:color w:val="212529"/>
                <w:sz w:val="18"/>
                <w:szCs w:val="18"/>
              </w:rPr>
              <w:t>)</w:t>
            </w:r>
          </w:p>
        </w:tc>
        <w:tc>
          <w:tcPr>
            <w:tcW w:w="198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83E4934"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National Total excluding LULUCF</w:t>
            </w:r>
          </w:p>
        </w:tc>
        <w:tc>
          <w:tcPr>
            <w:tcW w:w="1705"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88B3079" w14:textId="77777777" w:rsidR="006D593F" w:rsidRPr="00971FB6" w:rsidRDefault="006D593F" w:rsidP="006D593F">
            <w:pPr>
              <w:spacing w:after="0" w:line="240" w:lineRule="auto"/>
              <w:rPr>
                <w:rFonts w:ascii="Segoe UI" w:eastAsia="Times New Roman" w:hAnsi="Segoe UI" w:cs="Segoe UI"/>
                <w:color w:val="212529"/>
                <w:sz w:val="18"/>
                <w:szCs w:val="18"/>
              </w:rPr>
            </w:pPr>
            <w:r w:rsidRPr="00971FB6">
              <w:rPr>
                <w:rFonts w:ascii="Segoe UI" w:eastAsia="Times New Roman" w:hAnsi="Segoe UI" w:cs="Segoe UI"/>
                <w:color w:val="212529"/>
                <w:sz w:val="18"/>
                <w:szCs w:val="18"/>
              </w:rPr>
              <w:t>share of total</w:t>
            </w:r>
          </w:p>
        </w:tc>
      </w:tr>
    </w:tbl>
    <w:p w14:paraId="55983947" w14:textId="77777777" w:rsidR="007077FA" w:rsidRDefault="007077FA" w:rsidP="007077FA"/>
    <w:p w14:paraId="379EAE6D" w14:textId="77777777" w:rsidR="007E6A36" w:rsidRDefault="007E6A36" w:rsidP="007E6A36"/>
    <w:p w14:paraId="29604BD1" w14:textId="1E86CA99" w:rsidR="00403F61" w:rsidRDefault="00BC1D93" w:rsidP="00A12DEF">
      <w:pPr>
        <w:pStyle w:val="Heading2"/>
      </w:pPr>
      <w:r>
        <w:t>Easy and Safe to Use</w:t>
      </w:r>
    </w:p>
    <w:p w14:paraId="0AA14B35" w14:textId="19865B44" w:rsidR="00537258" w:rsidRDefault="00537258" w:rsidP="006A7F96">
      <w:pPr>
        <w:pStyle w:val="ListParagraph"/>
        <w:numPr>
          <w:ilvl w:val="0"/>
          <w:numId w:val="19"/>
        </w:numPr>
        <w:ind w:left="1080"/>
        <w:rPr>
          <w:b/>
          <w:bCs/>
        </w:rPr>
      </w:pPr>
      <w:r w:rsidRPr="00537258">
        <w:rPr>
          <w:b/>
          <w:bCs/>
        </w:rPr>
        <w:t>Definition and Concepts</w:t>
      </w:r>
    </w:p>
    <w:p w14:paraId="78AF7FF7" w14:textId="2FDC25FF" w:rsidR="00DB6C83" w:rsidRDefault="004B4AF5" w:rsidP="00DB6C83">
      <w:r>
        <w:t>M</w:t>
      </w:r>
      <w:r w:rsidRPr="004B4AF5">
        <w:t>easure</w:t>
      </w:r>
      <w:r>
        <w:t>s</w:t>
      </w:r>
      <w:r w:rsidRPr="004B4AF5">
        <w:t xml:space="preserve"> of annual global emissions of the six greenhouse gases covered by the Kyoto Protocol (carbon dioxide (CO2), methane (CH4), nitrous oxide (N2O), hydrofluorocarbons (HFCs), perfluorocarbons (PFCs), and sulphurhexafluoride (SF6)) from the energy, industry, waste, agriculture, and land use, land use changes, and forestry (LULUCF) sectors, </w:t>
      </w:r>
      <w:r w:rsidRPr="00355062">
        <w:rPr>
          <w:b/>
          <w:bCs/>
        </w:rPr>
        <w:t>standardized to carbon dioxide equivalent values</w:t>
      </w:r>
      <w:r w:rsidRPr="004B4AF5">
        <w:t>.</w:t>
      </w:r>
    </w:p>
    <w:p w14:paraId="055EA0EF" w14:textId="1B22A28A" w:rsidR="00BF211D" w:rsidRPr="00355062" w:rsidRDefault="004B4AF5" w:rsidP="005F7A39">
      <w:pPr>
        <w:rPr>
          <w:b/>
          <w:bCs/>
        </w:rPr>
      </w:pPr>
      <w:r w:rsidRPr="00355062">
        <w:rPr>
          <w:b/>
          <w:bCs/>
        </w:rPr>
        <w:t xml:space="preserve">Emissions are also </w:t>
      </w:r>
      <w:r w:rsidR="005F7A39" w:rsidRPr="00355062">
        <w:rPr>
          <w:b/>
          <w:bCs/>
        </w:rPr>
        <w:t>provided per capita, per GDP, as % change from 1990 and share of total for each greenhouse gas.</w:t>
      </w:r>
    </w:p>
    <w:p w14:paraId="5EB5D77E" w14:textId="4B217DBB" w:rsidR="00E81FE4" w:rsidRPr="000C1981" w:rsidRDefault="00537258" w:rsidP="00EA4A53">
      <w:pPr>
        <w:pStyle w:val="ListParagraph"/>
        <w:numPr>
          <w:ilvl w:val="0"/>
          <w:numId w:val="19"/>
        </w:numPr>
        <w:ind w:left="1080"/>
        <w:rPr>
          <w:b/>
          <w:bCs/>
        </w:rPr>
      </w:pPr>
      <w:r w:rsidRPr="000C1981">
        <w:rPr>
          <w:b/>
          <w:bCs/>
          <w:lang w:val="en-GB"/>
        </w:rPr>
        <w:t>Statistical Concept and Methodology</w:t>
      </w:r>
      <w:r w:rsidRPr="000C1981">
        <w:rPr>
          <w:b/>
          <w:bCs/>
        </w:rPr>
        <w:t xml:space="preserve"> </w:t>
      </w:r>
    </w:p>
    <w:p w14:paraId="4E9C4D60" w14:textId="72EB3563" w:rsidR="00193272" w:rsidRPr="00193272" w:rsidRDefault="00193272" w:rsidP="00193272">
      <w:pPr>
        <w:spacing w:after="0" w:line="240" w:lineRule="auto"/>
        <w:ind w:right="75"/>
        <w:textAlignment w:val="baseline"/>
      </w:pPr>
      <w:r w:rsidRPr="00193272">
        <w:t xml:space="preserve">The greenhouse gas emissions indicator is based on two data sources. EDGAR v8.0, augmented with LULUCF estimates </w:t>
      </w:r>
      <w:r w:rsidR="004F4C30">
        <w:t xml:space="preserve">from Grassi et al. </w:t>
      </w:r>
      <w:r w:rsidRPr="00193272">
        <w:t>(2023), is used for the global and regional emissions for all sectors. EDGAR provides internally consistent data with a one-year time lag. For country-level results, data for non-LULUCF sectors are based on the same EDGAR v8.0 dataset. For LULUCF emissions, however, we use the more country-informed dataset from Grassi et al. (2023). These data, which are based on national emissions inventories, are more compatible with a country’s own emissions estimates, but they are less comparable across countries due to different levels of data availability, capacity, and specific methodology. We believe that despite their lack of inter-country comparability these data are appropriate for country-level analyses.</w:t>
      </w:r>
    </w:p>
    <w:p w14:paraId="5D514A3E" w14:textId="77777777" w:rsidR="00193272" w:rsidRPr="00193272" w:rsidRDefault="00193272" w:rsidP="00193272">
      <w:pPr>
        <w:spacing w:after="0" w:line="240" w:lineRule="auto"/>
        <w:ind w:right="75"/>
        <w:textAlignment w:val="baseline"/>
      </w:pPr>
    </w:p>
    <w:p w14:paraId="129A1BB8" w14:textId="77777777" w:rsidR="00193272" w:rsidRPr="00193272" w:rsidRDefault="00193272" w:rsidP="00193272">
      <w:pPr>
        <w:spacing w:after="0" w:line="240" w:lineRule="auto"/>
        <w:ind w:right="75"/>
        <w:textAlignment w:val="baseline"/>
      </w:pPr>
      <w:r w:rsidRPr="00193272">
        <w:t xml:space="preserve">EDGAR v8.0's GHG estimates for combustion and industrial processes are based on the application of IPCC GHG accounting methodology across all countries. EDGAR uses data from the IEA and Energy Institute to derive GHG emissions at subnational and subsectoral level based on activity and emission factors. Emissions estimates are provided for the following subsectors: power industry, industrial combustion, buildings, transport, agriculture (including livestock), fuel exploitation, and waste. These data are available at the national, regional, and global level.  </w:t>
      </w:r>
    </w:p>
    <w:p w14:paraId="3D262A9A" w14:textId="77777777" w:rsidR="00193272" w:rsidRPr="00193272" w:rsidRDefault="00193272" w:rsidP="00193272">
      <w:pPr>
        <w:spacing w:after="0" w:line="240" w:lineRule="auto"/>
        <w:ind w:right="75"/>
        <w:textAlignment w:val="baseline"/>
      </w:pPr>
    </w:p>
    <w:p w14:paraId="7C3D17BB" w14:textId="77777777" w:rsidR="00193272" w:rsidRPr="00193272" w:rsidRDefault="00193272" w:rsidP="00193272">
      <w:pPr>
        <w:spacing w:after="0" w:line="240" w:lineRule="auto"/>
        <w:ind w:right="75"/>
        <w:textAlignment w:val="baseline"/>
      </w:pPr>
      <w:r w:rsidRPr="00193272">
        <w:t xml:space="preserve">For LULUCF at the regional and global level, EDGAR applies a methodology described in Grassi et al. (2022) to combine data from a variety of sources. Specifically, the method uses forestry emissions estimated using the IPCC tier 1 methodology, which relies on </w:t>
      </w:r>
      <w:proofErr w:type="gramStart"/>
      <w:r w:rsidRPr="00193272">
        <w:t>coarse</w:t>
      </w:r>
      <w:proofErr w:type="gramEnd"/>
      <w:r w:rsidRPr="00193272">
        <w:t xml:space="preserve">, non-country specific emissions factors. These data are combined with Grassi et al. (2022) country-level estimates of deforestation </w:t>
      </w:r>
      <w:r w:rsidRPr="00193272">
        <w:lastRenderedPageBreak/>
        <w:t xml:space="preserve">(including tropical forest fires), organic soils, other fluxes, and non-tropical forest fires. This methodology is consistent across all countries but may not be well matched to country-specific estimates, specifically non-Annex 1 countries. </w:t>
      </w:r>
    </w:p>
    <w:p w14:paraId="4EC44D34" w14:textId="77777777" w:rsidR="00193272" w:rsidRPr="00193272" w:rsidRDefault="00193272" w:rsidP="00193272">
      <w:pPr>
        <w:spacing w:after="0" w:line="240" w:lineRule="auto"/>
        <w:ind w:right="75"/>
        <w:textAlignment w:val="baseline"/>
      </w:pPr>
    </w:p>
    <w:p w14:paraId="5BD2AFDC" w14:textId="77777777" w:rsidR="00193272" w:rsidRPr="00193272" w:rsidRDefault="00193272" w:rsidP="00193272">
      <w:pPr>
        <w:spacing w:after="0" w:line="240" w:lineRule="auto"/>
        <w:ind w:right="75"/>
        <w:textAlignment w:val="baseline"/>
      </w:pPr>
      <w:r w:rsidRPr="00CD5B2B">
        <w:rPr>
          <w:b/>
          <w:bCs/>
        </w:rPr>
        <w:t>To provide the most recent estimates for combustion and industrial processes, EDGAR uses a “Fast-Track” approach to extrapolate emissions to the most recent year.</w:t>
      </w:r>
      <w:r w:rsidRPr="00193272">
        <w:t xml:space="preserve"> As such, the most recent GHG estimates are usually subject to adjustment, but year-to-year variations have historically been only to within +/- 2 percent. The Fast-Track approach, explained in detail in Crippa et al. (2023), uses emissions data by fuel type from Energy Institute to extrapolate GHG estimates, assuming the same sectoral composition from two </w:t>
      </w:r>
      <w:proofErr w:type="gramStart"/>
      <w:r w:rsidRPr="00193272">
        <w:t>years’</w:t>
      </w:r>
      <w:proofErr w:type="gramEnd"/>
      <w:r w:rsidRPr="00193272">
        <w:t xml:space="preserve"> prior observed in the last year of IEA’s energy balance statistics. For agriculture emissions, USGS data are used to extend the FAOSTAT statistics. For sectors with lower contributions to GHG, extrapolation is based on relative trends of proxy data. The indicated level of accuracy for Fast-Tracked data is lower than that derived from more robust activity data (such as IEA or FAO), which is within +/- 0.5 percent.</w:t>
      </w:r>
    </w:p>
    <w:p w14:paraId="3CB1814F" w14:textId="77777777" w:rsidR="00193272" w:rsidRPr="00193272" w:rsidRDefault="00193272" w:rsidP="00193272">
      <w:pPr>
        <w:spacing w:after="0" w:line="240" w:lineRule="auto"/>
        <w:ind w:right="75"/>
        <w:textAlignment w:val="baseline"/>
      </w:pPr>
    </w:p>
    <w:p w14:paraId="73200032" w14:textId="2BF299FD" w:rsidR="00F034CD" w:rsidRDefault="00193272" w:rsidP="005F7A39">
      <w:pPr>
        <w:pStyle w:val="ListParagraph"/>
        <w:ind w:left="0"/>
      </w:pPr>
      <w:r w:rsidRPr="00193272">
        <w:t xml:space="preserve">For national-level emissions, the same EDGAR non-LULUCF emissions method described above is used. </w:t>
      </w:r>
      <w:r w:rsidRPr="002F4DF0">
        <w:rPr>
          <w:b/>
          <w:bCs/>
        </w:rPr>
        <w:t>However, to provide better consistency with national circumstances, LULUCF estimates from Grassi et al. (2023) are used.</w:t>
      </w:r>
      <w:r w:rsidRPr="00193272">
        <w:t xml:space="preserve"> These estimates are based on country reported information on forestry management and emissions. </w:t>
      </w:r>
      <w:r w:rsidRPr="00A12DEF">
        <w:rPr>
          <w:b/>
          <w:bCs/>
        </w:rPr>
        <w:t>Presently these data are available only through 2020 and do not include the fires subcategory of emissions. As a result of this current omission of fire emissions estimates, the summation of emissions across all countries using the country-level data will be modestly lower than the global emissions from the regional and global dataset—about 4 percent for 2020.</w:t>
      </w:r>
      <w:r w:rsidRPr="00193272">
        <w:t xml:space="preserve"> Note that there is an estimated data update for later in 2024 to bring all data up to 2022 and keep them updated at the same schedule as the main EDGAR data.</w:t>
      </w:r>
    </w:p>
    <w:p w14:paraId="370F0098" w14:textId="77777777" w:rsidR="005F7A39" w:rsidRPr="00193272" w:rsidRDefault="005F7A39" w:rsidP="005F7A39">
      <w:pPr>
        <w:pStyle w:val="ListParagraph"/>
        <w:ind w:left="0"/>
      </w:pPr>
    </w:p>
    <w:p w14:paraId="18911757" w14:textId="77777777" w:rsidR="002D1295" w:rsidRDefault="00403F61" w:rsidP="006A7F96">
      <w:pPr>
        <w:pStyle w:val="ListParagraph"/>
        <w:numPr>
          <w:ilvl w:val="0"/>
          <w:numId w:val="19"/>
        </w:numPr>
        <w:ind w:left="1080"/>
        <w:rPr>
          <w:b/>
          <w:bCs/>
        </w:rPr>
      </w:pPr>
      <w:r w:rsidRPr="00537258">
        <w:rPr>
          <w:b/>
          <w:bCs/>
        </w:rPr>
        <w:t xml:space="preserve">License: </w:t>
      </w:r>
    </w:p>
    <w:p w14:paraId="64224C24" w14:textId="3C01527A" w:rsidR="002D1295" w:rsidRDefault="002D1295" w:rsidP="002D1295">
      <w:pPr>
        <w:ind w:left="360"/>
        <w:rPr>
          <w:b/>
          <w:bCs/>
        </w:rPr>
      </w:pPr>
      <w:r w:rsidRPr="002D1295">
        <w:rPr>
          <w:b/>
          <w:bCs/>
        </w:rPr>
        <w:t xml:space="preserve">- </w:t>
      </w:r>
      <w:r>
        <w:rPr>
          <w:b/>
          <w:bCs/>
        </w:rPr>
        <w:t>EDGAR data</w:t>
      </w:r>
      <w:r w:rsidR="00991869">
        <w:rPr>
          <w:b/>
          <w:bCs/>
        </w:rPr>
        <w:t xml:space="preserve">: </w:t>
      </w:r>
      <w:r w:rsidR="006432C2" w:rsidRPr="006432C2">
        <w:t>Al</w:t>
      </w:r>
      <w:r w:rsidR="006432C2" w:rsidRPr="006432C2">
        <w:t>l material owned by the European Union is licensed under the </w:t>
      </w:r>
      <w:hyperlink r:id="rId11" w:tgtFrame="_blank" w:history="1">
        <w:r w:rsidR="006432C2" w:rsidRPr="006432C2">
          <w:t xml:space="preserve">Creative Commons Attribution 4.0 International (CC BY 4.0) </w:t>
        </w:r>
        <w:r w:rsidR="00576D21" w:rsidRPr="006432C2">
          <w:t>license</w:t>
        </w:r>
      </w:hyperlink>
      <w:r w:rsidR="006432C2">
        <w:t>.</w:t>
      </w:r>
    </w:p>
    <w:p w14:paraId="28C8BB8D" w14:textId="57F09EDA" w:rsidR="00403F61" w:rsidRPr="005B77D9" w:rsidRDefault="002D1295" w:rsidP="002D1295">
      <w:pPr>
        <w:ind w:left="360"/>
        <w:rPr>
          <w:b/>
          <w:bCs/>
        </w:rPr>
      </w:pPr>
      <w:r>
        <w:rPr>
          <w:b/>
          <w:bCs/>
        </w:rPr>
        <w:t xml:space="preserve">- EDGAR-IEA CO2 data: </w:t>
      </w:r>
      <w:r w:rsidR="00DC385C" w:rsidRPr="00DC385C">
        <w:t>IEA-EDGAR CO2 data are based on data from IEA (2022) Greenhouse Gas Emissions from Energy, www.iea.org/data-and-statistics, as modified by the Joint Research Centre, licensed under CC BY-NC-ND 4.0. Users of the IEA-EDGAR CO2 data should contact the IEA at </w:t>
      </w:r>
      <w:hyperlink r:id="rId12" w:history="1">
        <w:r w:rsidR="00DC385C" w:rsidRPr="00DC385C">
          <w:t>compliance@iea.org</w:t>
        </w:r>
      </w:hyperlink>
      <w:r w:rsidR="00DC385C" w:rsidRPr="00DC385C">
        <w:t xml:space="preserve"> if they wish to use such data outside the terms of the CC-BY-NC-ND 4.0 </w:t>
      </w:r>
      <w:r w:rsidR="00576D21" w:rsidRPr="00DC385C">
        <w:t>license</w:t>
      </w:r>
      <w:r w:rsidR="00DC385C" w:rsidRPr="00DC385C">
        <w:t>.</w:t>
      </w:r>
      <w:r w:rsidR="003563B0">
        <w:t xml:space="preserve"> </w:t>
      </w:r>
      <w:proofErr w:type="gramStart"/>
      <w:r w:rsidR="007213A8" w:rsidRPr="003563B0">
        <w:rPr>
          <w:b/>
          <w:bCs/>
          <w:color w:val="FF0000"/>
        </w:rPr>
        <w:t>ND</w:t>
      </w:r>
      <w:proofErr w:type="gramEnd"/>
      <w:r w:rsidR="007213A8" w:rsidRPr="003563B0">
        <w:rPr>
          <w:b/>
          <w:bCs/>
          <w:color w:val="FF0000"/>
        </w:rPr>
        <w:t xml:space="preserve"> means NoDerivates, i.e. </w:t>
      </w:r>
      <w:r w:rsidR="003563B0" w:rsidRPr="003563B0">
        <w:rPr>
          <w:b/>
          <w:bCs/>
          <w:color w:val="FF0000"/>
        </w:rPr>
        <w:t>If you </w:t>
      </w:r>
      <w:hyperlink r:id="rId13" w:anchor="ref-some-kinds-of-mods" w:history="1">
        <w:r w:rsidR="003563B0" w:rsidRPr="003563B0">
          <w:rPr>
            <w:b/>
            <w:bCs/>
            <w:color w:val="FF0000"/>
          </w:rPr>
          <w:t>remix, transform, or build upon </w:t>
        </w:r>
      </w:hyperlink>
      <w:r w:rsidR="003563B0" w:rsidRPr="003563B0">
        <w:rPr>
          <w:b/>
          <w:bCs/>
          <w:color w:val="FF0000"/>
        </w:rPr>
        <w:t>the material, you may not distribute the modified material.</w:t>
      </w:r>
      <w:r w:rsidR="003563B0">
        <w:rPr>
          <w:b/>
          <w:bCs/>
          <w:color w:val="FF0000"/>
        </w:rPr>
        <w:t xml:space="preserve"> This may be a problem when calculating per capita or per GDP indicators.</w:t>
      </w:r>
      <w:r w:rsidR="005B77D9">
        <w:rPr>
          <w:b/>
          <w:bCs/>
          <w:color w:val="FF0000"/>
        </w:rPr>
        <w:t xml:space="preserve"> </w:t>
      </w:r>
      <w:r w:rsidR="005B77D9" w:rsidRPr="005B77D9">
        <w:rPr>
          <w:b/>
          <w:bCs/>
          <w:color w:val="FF0000"/>
        </w:rPr>
        <w:t xml:space="preserve">Need </w:t>
      </w:r>
      <w:r w:rsidR="005B77D9">
        <w:rPr>
          <w:b/>
          <w:bCs/>
          <w:color w:val="FF0000"/>
        </w:rPr>
        <w:t>to contact IEA</w:t>
      </w:r>
      <w:r w:rsidR="00843268">
        <w:rPr>
          <w:b/>
          <w:bCs/>
          <w:color w:val="FF0000"/>
        </w:rPr>
        <w:t>/interpret</w:t>
      </w:r>
      <w:r w:rsidR="005B77D9" w:rsidRPr="005B77D9">
        <w:rPr>
          <w:b/>
          <w:bCs/>
          <w:color w:val="FF0000"/>
        </w:rPr>
        <w:t xml:space="preserve"> </w:t>
      </w:r>
      <w:r w:rsidR="005B77D9" w:rsidRPr="005B77D9">
        <w:rPr>
          <w:b/>
          <w:bCs/>
          <w:color w:val="FF0000"/>
        </w:rPr>
        <w:t>https://creativecommons.org/faq/#when-is-my-use-considered-an-adaptation</w:t>
      </w:r>
      <w:r w:rsidR="000835CF">
        <w:rPr>
          <w:rStyle w:val="FootnoteReference"/>
          <w:b/>
          <w:bCs/>
          <w:color w:val="FF0000"/>
        </w:rPr>
        <w:footnoteReference w:id="2"/>
      </w:r>
    </w:p>
    <w:p w14:paraId="398FD23A" w14:textId="144C8AE6" w:rsidR="00DD29DB" w:rsidRPr="006432C2" w:rsidRDefault="006432C2" w:rsidP="006432C2">
      <w:pPr>
        <w:ind w:left="360"/>
        <w:rPr>
          <w:b/>
          <w:bCs/>
        </w:rPr>
      </w:pPr>
      <w:r>
        <w:rPr>
          <w:b/>
          <w:bCs/>
        </w:rPr>
        <w:t xml:space="preserve">- Grassi LULUCF data: </w:t>
      </w:r>
      <w:r w:rsidR="00F315B8" w:rsidRPr="00F315B8">
        <w:t>Creative Commons Attribution 4.0 International</w:t>
      </w:r>
      <w:r w:rsidR="00F315B8" w:rsidRPr="00F315B8">
        <w:t xml:space="preserve"> (</w:t>
      </w:r>
      <w:r w:rsidR="00F315B8" w:rsidRPr="00F315B8">
        <w:t>https://zenodo.org/records/7650360</w:t>
      </w:r>
      <w:r w:rsidR="00F315B8" w:rsidRPr="00F315B8">
        <w:t>)</w:t>
      </w:r>
    </w:p>
    <w:p w14:paraId="496FC5E5" w14:textId="0DE92944" w:rsidR="00BC1D93" w:rsidRPr="00D31F71" w:rsidRDefault="00BC1D93" w:rsidP="00A12DEF">
      <w:pPr>
        <w:pStyle w:val="Heading2"/>
      </w:pPr>
      <w:r w:rsidRPr="00D31F71">
        <w:lastRenderedPageBreak/>
        <w:t>Development Relevance</w:t>
      </w:r>
    </w:p>
    <w:p w14:paraId="4250B86A" w14:textId="095C3CE5" w:rsidR="00132B1D" w:rsidRPr="00132B1D" w:rsidRDefault="00132B1D" w:rsidP="005F7A39">
      <w:pPr>
        <w:spacing w:after="0" w:line="240" w:lineRule="auto"/>
        <w:ind w:right="75"/>
        <w:jc w:val="both"/>
        <w:textAlignment w:val="baseline"/>
      </w:pPr>
      <w:r w:rsidRPr="00132B1D">
        <w:t xml:space="preserve">Global greenhouse gas (GHG) emissions </w:t>
      </w:r>
      <w:proofErr w:type="gramStart"/>
      <w:r w:rsidRPr="00132B1D">
        <w:t>is</w:t>
      </w:r>
      <w:proofErr w:type="gramEnd"/>
      <w:r w:rsidRPr="00132B1D">
        <w:t xml:space="preserve"> a relevant indicator </w:t>
      </w:r>
      <w:r w:rsidR="00AC57E6">
        <w:t>because of the impact on climate and thus</w:t>
      </w:r>
      <w:r w:rsidRPr="00132B1D">
        <w:t xml:space="preserve"> thus development. Human-induced GHG emissions are driving atmospheric concentration increases and atmospheric warming, which is leading to a myriad of climatic changes. Climate change is already causing more frequent and extreme weather events and higher temperatures globally, leading to large impacts across the globe and particularly in developing countries that often have a limited means to adapt and build resilience. The international scientific community has warned that emissions need to decline to net zero by the middle of the 21st century to limit global warming to well below a 2deg C increase and help avoid the most consequential climate change impacts. </w:t>
      </w:r>
    </w:p>
    <w:p w14:paraId="2DBF98EB" w14:textId="77777777" w:rsidR="00132B1D" w:rsidRPr="00132B1D" w:rsidRDefault="00132B1D" w:rsidP="00132B1D">
      <w:pPr>
        <w:spacing w:after="0" w:line="240" w:lineRule="auto"/>
        <w:ind w:left="360" w:right="75"/>
        <w:jc w:val="both"/>
        <w:textAlignment w:val="baseline"/>
      </w:pPr>
    </w:p>
    <w:p w14:paraId="2A5A441E" w14:textId="77777777" w:rsidR="00132B1D" w:rsidRPr="00132B1D" w:rsidRDefault="00132B1D" w:rsidP="005F7A39">
      <w:pPr>
        <w:spacing w:after="0" w:line="240" w:lineRule="auto"/>
        <w:ind w:right="75"/>
        <w:jc w:val="both"/>
        <w:textAlignment w:val="baseline"/>
      </w:pPr>
      <w:r w:rsidRPr="00132B1D">
        <w:t xml:space="preserve">Climate change is having a disproportionate impact on developing countries and if unabated will not only reverse past development progress and hinder poverty reduction but will also make future development more costly. Country level assessments of the potential climate change impacts on specific developing countries, performed as part of the World Bank’s Country Climate and Development Reports (CCDRs), show that climate change will have a significant impact on developing countries’ economies, ranging from about 0.5% of GDP for higher income developing countries to over 13% for the lowest income developing countries. The costs of partial adaptation to these changes will be significant as well -- ranging between 1 and 10% of developing countries’ GDP. </w:t>
      </w:r>
    </w:p>
    <w:p w14:paraId="63F3F715" w14:textId="77777777" w:rsidR="00132B1D" w:rsidRPr="00132B1D" w:rsidRDefault="00132B1D" w:rsidP="00132B1D">
      <w:pPr>
        <w:spacing w:after="0" w:line="240" w:lineRule="auto"/>
        <w:ind w:left="360" w:right="75"/>
        <w:jc w:val="both"/>
        <w:textAlignment w:val="baseline"/>
      </w:pPr>
    </w:p>
    <w:p w14:paraId="215AC5B6" w14:textId="77777777" w:rsidR="00132B1D" w:rsidRPr="00132B1D" w:rsidRDefault="00132B1D" w:rsidP="005F7A39">
      <w:pPr>
        <w:spacing w:after="0" w:line="240" w:lineRule="auto"/>
        <w:ind w:right="75"/>
        <w:jc w:val="both"/>
        <w:textAlignment w:val="baseline"/>
      </w:pPr>
      <w:r w:rsidRPr="00132B1D">
        <w:t xml:space="preserve">WBG-supported development must be aligned to the necessary low-emissions development transition. The World Bank has committed to aligning its activities to the goals of the Paris Agreement, including limiting average global warming to 1.5 deg C. As such, the global, regional, and country level emissions levels provide relevant context for the design and tracking of WBG compliance with this requirement. </w:t>
      </w:r>
    </w:p>
    <w:p w14:paraId="325F8BDE" w14:textId="77777777" w:rsidR="00132B1D" w:rsidRPr="00132B1D" w:rsidRDefault="00132B1D" w:rsidP="00132B1D">
      <w:pPr>
        <w:spacing w:after="0" w:line="240" w:lineRule="auto"/>
        <w:ind w:left="360" w:right="75"/>
        <w:jc w:val="both"/>
        <w:textAlignment w:val="baseline"/>
      </w:pPr>
    </w:p>
    <w:p w14:paraId="1AE3C819" w14:textId="168598B2" w:rsidR="00913B24" w:rsidRPr="00132B1D" w:rsidRDefault="00132B1D" w:rsidP="005F7A39">
      <w:r w:rsidRPr="00132B1D">
        <w:t>Different data sources for this metric have different strengths and limitations. To be consistent with the urgency of emissions reduction and to best reflect global progress on emissions reduction, this indicator is based on data that are as up to date as possible and permit meaningful, annual updates. Additionally, this indicator is based on sources that estimate emissions at the subnational and sub sectoral level and thus can be aggregated to and reported by sector at the country, region, and global level. This will permit a granular understanding of the key drivers of emissions and opportunities for mitigation.</w:t>
      </w:r>
    </w:p>
    <w:p w14:paraId="1FDC92AA" w14:textId="77777777" w:rsidR="00132B1D" w:rsidRDefault="00132B1D" w:rsidP="00132B1D">
      <w:pPr>
        <w:pStyle w:val="ListParagraph"/>
      </w:pPr>
    </w:p>
    <w:p w14:paraId="7B026922" w14:textId="568727EA" w:rsidR="00424851" w:rsidRPr="00A12DEF" w:rsidRDefault="00BC1D93" w:rsidP="00A12DEF">
      <w:pPr>
        <w:pStyle w:val="Heading2"/>
      </w:pPr>
      <w:r w:rsidRPr="00A12DEF">
        <w:t>Adequate</w:t>
      </w:r>
      <w:r w:rsidR="00424851" w:rsidRPr="00A12DEF">
        <w:t xml:space="preserve"> coverage</w:t>
      </w:r>
    </w:p>
    <w:p w14:paraId="268849EB" w14:textId="5AFBA193" w:rsidR="00424851" w:rsidRDefault="00424851" w:rsidP="00424851">
      <w:pPr>
        <w:numPr>
          <w:ilvl w:val="0"/>
          <w:numId w:val="13"/>
        </w:numPr>
      </w:pPr>
      <w:r w:rsidRPr="00424851">
        <w:rPr>
          <w:b/>
          <w:bCs/>
        </w:rPr>
        <w:t>Number of economies</w:t>
      </w:r>
      <w:r w:rsidR="00403F61">
        <w:t>:</w:t>
      </w:r>
      <w:r w:rsidRPr="00424851">
        <w:t xml:space="preserve"> This metric measures the total number of economies for which data is available for the indicator.</w:t>
      </w:r>
    </w:p>
    <w:p w14:paraId="3296546A" w14:textId="77777777" w:rsidR="00302D00" w:rsidRPr="00971759" w:rsidRDefault="00302D00" w:rsidP="00302D00">
      <w:pPr>
        <w:pStyle w:val="HTMLPreformatted"/>
        <w:shd w:val="clear" w:color="auto" w:fill="FFFFFF"/>
        <w:wordWrap w:val="0"/>
        <w:rPr>
          <w:rFonts w:asciiTheme="minorHAnsi" w:eastAsiaTheme="minorHAnsi" w:hAnsiTheme="minorHAnsi" w:cstheme="minorBidi"/>
          <w:sz w:val="22"/>
          <w:szCs w:val="22"/>
        </w:rPr>
      </w:pPr>
      <w:r w:rsidRPr="00971759">
        <w:rPr>
          <w:rFonts w:asciiTheme="minorHAnsi" w:eastAsiaTheme="minorHAnsi" w:hAnsiTheme="minorHAnsi" w:cstheme="minorBidi"/>
          <w:sz w:val="22"/>
          <w:szCs w:val="22"/>
        </w:rPr>
        <w:t xml:space="preserve">Following 14 WDI countries not in EDGAR data: </w:t>
      </w:r>
      <w:r w:rsidRPr="00971759">
        <w:rPr>
          <w:rFonts w:asciiTheme="minorHAnsi" w:eastAsiaTheme="minorHAnsi" w:hAnsiTheme="minorHAnsi" w:cstheme="minorBidi"/>
          <w:sz w:val="22"/>
          <w:szCs w:val="22"/>
        </w:rPr>
        <w:t xml:space="preserve">     </w:t>
      </w:r>
    </w:p>
    <w:p w14:paraId="5CF18E18" w14:textId="3C7B7653" w:rsid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w:t>
      </w:r>
      <w:r>
        <w:rPr>
          <w:rStyle w:val="gnvwddmdn3b"/>
          <w:rFonts w:ascii="Lucida Console" w:eastAsiaTheme="majorEastAsia" w:hAnsi="Lucida Console"/>
          <w:color w:val="000000"/>
          <w:bdr w:val="none" w:sz="0" w:space="0" w:color="auto" w:frame="1"/>
        </w:rPr>
        <w:t>1:                   Andorra    AND</w:t>
      </w:r>
    </w:p>
    <w:p w14:paraId="39E50F4D" w14:textId="77777777" w:rsid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2:           Channel Islands    CHI</w:t>
      </w:r>
    </w:p>
    <w:p w14:paraId="2388DBFC" w14:textId="77777777" w:rsid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3:                   Curacao    CUW</w:t>
      </w:r>
    </w:p>
    <w:p w14:paraId="546C124F" w14:textId="77777777" w:rsid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4:               Isle of Man    IMN</w:t>
      </w:r>
    </w:p>
    <w:p w14:paraId="510750A4"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Pr>
          <w:rStyle w:val="gnvwddmdn3b"/>
          <w:rFonts w:ascii="Lucida Console" w:eastAsiaTheme="majorEastAsia" w:hAnsi="Lucida Console"/>
          <w:color w:val="000000"/>
          <w:bdr w:val="none" w:sz="0" w:space="0" w:color="auto" w:frame="1"/>
        </w:rPr>
        <w:t xml:space="preserve"> </w:t>
      </w:r>
      <w:r w:rsidRPr="00971759">
        <w:rPr>
          <w:rStyle w:val="gnvwddmdn3b"/>
          <w:rFonts w:ascii="Lucida Console" w:eastAsiaTheme="majorEastAsia" w:hAnsi="Lucida Console"/>
          <w:color w:val="000000"/>
          <w:bdr w:val="none" w:sz="0" w:space="0" w:color="auto" w:frame="1"/>
          <w:lang w:val="de-DE"/>
        </w:rPr>
        <w:t>5:                    Kosovo    XKX</w:t>
      </w:r>
    </w:p>
    <w:p w14:paraId="20AD8BA8"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 xml:space="preserve"> 6:             Liechtenstein    LIE</w:t>
      </w:r>
    </w:p>
    <w:p w14:paraId="3CD36AF9"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 xml:space="preserve"> 7:                    Monaco    MCO</w:t>
      </w:r>
    </w:p>
    <w:p w14:paraId="15BB9C1D"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 xml:space="preserve"> 8:                Montenegro    MNE</w:t>
      </w:r>
    </w:p>
    <w:p w14:paraId="5960CD37"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 xml:space="preserve"> 9:                San Marino    SMR</w:t>
      </w:r>
    </w:p>
    <w:p w14:paraId="71AD9829"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10:                    Serbia    SRB</w:t>
      </w:r>
    </w:p>
    <w:p w14:paraId="2BB34D4A"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11: Sint Maarten (Dutch part)    SXM</w:t>
      </w:r>
    </w:p>
    <w:p w14:paraId="18A8D50B" w14:textId="77777777" w:rsidR="00971759" w:rsidRP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lang w:val="de-DE"/>
        </w:rPr>
      </w:pPr>
      <w:r w:rsidRPr="00971759">
        <w:rPr>
          <w:rStyle w:val="gnvwddmdn3b"/>
          <w:rFonts w:ascii="Lucida Console" w:eastAsiaTheme="majorEastAsia" w:hAnsi="Lucida Console"/>
          <w:color w:val="000000"/>
          <w:bdr w:val="none" w:sz="0" w:space="0" w:color="auto" w:frame="1"/>
          <w:lang w:val="de-DE"/>
        </w:rPr>
        <w:t>12:               South Sudan    SSD</w:t>
      </w:r>
    </w:p>
    <w:p w14:paraId="2001D393" w14:textId="77777777" w:rsidR="00971759" w:rsidRDefault="00971759" w:rsidP="00971759">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13:  St. Martin (French </w:t>
      </w:r>
      <w:proofErr w:type="gramStart"/>
      <w:r>
        <w:rPr>
          <w:rStyle w:val="gnvwddmdn3b"/>
          <w:rFonts w:ascii="Lucida Console" w:eastAsiaTheme="majorEastAsia" w:hAnsi="Lucida Console"/>
          <w:color w:val="000000"/>
          <w:bdr w:val="none" w:sz="0" w:space="0" w:color="auto" w:frame="1"/>
        </w:rPr>
        <w:t xml:space="preserve">part)   </w:t>
      </w:r>
      <w:proofErr w:type="gramEnd"/>
      <w:r>
        <w:rPr>
          <w:rStyle w:val="gnvwddmdn3b"/>
          <w:rFonts w:ascii="Lucida Console" w:eastAsiaTheme="majorEastAsia" w:hAnsi="Lucida Console"/>
          <w:color w:val="000000"/>
          <w:bdr w:val="none" w:sz="0" w:space="0" w:color="auto" w:frame="1"/>
        </w:rPr>
        <w:t xml:space="preserve"> MAF</w:t>
      </w:r>
    </w:p>
    <w:p w14:paraId="011E7A4F" w14:textId="77777777" w:rsidR="00971759" w:rsidRDefault="00971759" w:rsidP="00971759">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lastRenderedPageBreak/>
        <w:t>14:        West Bank and Gaza    PSE</w:t>
      </w:r>
    </w:p>
    <w:p w14:paraId="2D4A6D9F" w14:textId="3D31A875" w:rsidR="00AC57E6" w:rsidRDefault="00971759" w:rsidP="00971759">
      <w:r>
        <w:tab/>
        <w:t xml:space="preserve">These countries are partly contained in </w:t>
      </w:r>
      <w:r w:rsidR="003B7CB3">
        <w:t>other aggregates</w:t>
      </w:r>
      <w:r w:rsidR="00735E1F">
        <w:t>, e.g., Serbia and Montenegro</w:t>
      </w:r>
      <w:r w:rsidR="001557FB">
        <w:t>, Sint Maarten in Netherlands, St. Martin in France.</w:t>
      </w:r>
    </w:p>
    <w:p w14:paraId="0452C80B" w14:textId="2DE37441" w:rsidR="001557FB" w:rsidRDefault="001C3E4B" w:rsidP="00971759">
      <w:r>
        <w:t>Following 24 countries not in G</w:t>
      </w:r>
      <w:r w:rsidR="00BB716C">
        <w:t>rassi</w:t>
      </w:r>
      <w:r>
        <w:t xml:space="preserve"> LULUCF data:</w:t>
      </w:r>
    </w:p>
    <w:p w14:paraId="3AD0D511" w14:textId="23DA5CE5" w:rsidR="001C3E4B" w:rsidRP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lang w:val="pt-BR"/>
        </w:rPr>
      </w:pPr>
      <w:r w:rsidRPr="00D255DC">
        <w:rPr>
          <w:rStyle w:val="gnvwddmdn3b"/>
          <w:rFonts w:ascii="Lucida Console" w:eastAsiaTheme="majorEastAsia" w:hAnsi="Lucida Console"/>
          <w:color w:val="000000"/>
          <w:bdr w:val="none" w:sz="0" w:space="0" w:color="auto" w:frame="1"/>
        </w:rPr>
        <w:t xml:space="preserve"> </w:t>
      </w:r>
      <w:r w:rsidRPr="001C3E4B">
        <w:rPr>
          <w:rStyle w:val="gnvwddmdn3b"/>
          <w:rFonts w:ascii="Lucida Console" w:eastAsiaTheme="majorEastAsia" w:hAnsi="Lucida Console"/>
          <w:color w:val="000000"/>
          <w:bdr w:val="none" w:sz="0" w:space="0" w:color="auto" w:frame="1"/>
          <w:lang w:val="pt-BR"/>
        </w:rPr>
        <w:t>1:            American Samoa    ASM</w:t>
      </w:r>
    </w:p>
    <w:p w14:paraId="788AC3B7" w14:textId="77777777" w:rsidR="001C3E4B" w:rsidRP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lang w:val="pt-BR"/>
        </w:rPr>
      </w:pPr>
      <w:r w:rsidRPr="001C3E4B">
        <w:rPr>
          <w:rStyle w:val="gnvwddmdn3b"/>
          <w:rFonts w:ascii="Lucida Console" w:eastAsiaTheme="majorEastAsia" w:hAnsi="Lucida Console"/>
          <w:color w:val="000000"/>
          <w:bdr w:val="none" w:sz="0" w:space="0" w:color="auto" w:frame="1"/>
          <w:lang w:val="pt-BR"/>
        </w:rPr>
        <w:t xml:space="preserve"> 2:                     Aruba    ABW</w:t>
      </w:r>
    </w:p>
    <w:p w14:paraId="7E833BD0" w14:textId="77777777" w:rsidR="001C3E4B" w:rsidRP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lang w:val="pt-BR"/>
        </w:rPr>
      </w:pPr>
      <w:r w:rsidRPr="001C3E4B">
        <w:rPr>
          <w:rStyle w:val="gnvwddmdn3b"/>
          <w:rFonts w:ascii="Lucida Console" w:eastAsiaTheme="majorEastAsia" w:hAnsi="Lucida Console"/>
          <w:color w:val="000000"/>
          <w:bdr w:val="none" w:sz="0" w:space="0" w:color="auto" w:frame="1"/>
          <w:lang w:val="pt-BR"/>
        </w:rPr>
        <w:t xml:space="preserve"> 3:                   Bermuda    BMU</w:t>
      </w:r>
    </w:p>
    <w:p w14:paraId="0B9A8FFB"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sidRPr="001C3E4B">
        <w:rPr>
          <w:rStyle w:val="gnvwddmdn3b"/>
          <w:rFonts w:ascii="Lucida Console" w:eastAsiaTheme="majorEastAsia" w:hAnsi="Lucida Console"/>
          <w:color w:val="000000"/>
          <w:bdr w:val="none" w:sz="0" w:space="0" w:color="auto" w:frame="1"/>
          <w:lang w:val="pt-BR"/>
        </w:rPr>
        <w:t xml:space="preserve"> </w:t>
      </w:r>
      <w:r>
        <w:rPr>
          <w:rStyle w:val="gnvwddmdn3b"/>
          <w:rFonts w:ascii="Lucida Console" w:eastAsiaTheme="majorEastAsia" w:hAnsi="Lucida Console"/>
          <w:color w:val="000000"/>
          <w:bdr w:val="none" w:sz="0" w:space="0" w:color="auto" w:frame="1"/>
        </w:rPr>
        <w:t>4:    British Virgin Islands    VGB</w:t>
      </w:r>
    </w:p>
    <w:p w14:paraId="43923593"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5:            Cayman Islands    CYM</w:t>
      </w:r>
    </w:p>
    <w:p w14:paraId="5B1E1461"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6:           Channel Islands    CHI</w:t>
      </w:r>
    </w:p>
    <w:p w14:paraId="2C00AE1F"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7:                   Curacao    CUW</w:t>
      </w:r>
    </w:p>
    <w:p w14:paraId="3124AFC8"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8:             Faroe Islands    FRO</w:t>
      </w:r>
    </w:p>
    <w:p w14:paraId="6778614C"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9:          French Polynesia    PYF</w:t>
      </w:r>
    </w:p>
    <w:p w14:paraId="1039920E"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10:                 Gibraltar    GIB</w:t>
      </w:r>
    </w:p>
    <w:p w14:paraId="0BA4D6B7"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11:                 Greenland    GRL</w:t>
      </w:r>
    </w:p>
    <w:p w14:paraId="4DCDE3BA"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12:                      Guam    GUM</w:t>
      </w:r>
    </w:p>
    <w:p w14:paraId="6EA627B7"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13:      Hong Kong SAR, China    HKG</w:t>
      </w:r>
    </w:p>
    <w:p w14:paraId="774E8CD1"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14:               Isle of Man    IMN</w:t>
      </w:r>
    </w:p>
    <w:p w14:paraId="1B7D1927"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15:                    Kosovo    XKX</w:t>
      </w:r>
    </w:p>
    <w:p w14:paraId="293A9DF3"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16:          Macao SAR, China    MAC</w:t>
      </w:r>
    </w:p>
    <w:p w14:paraId="48CA3045"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17:             New Caledonia    NCL</w:t>
      </w:r>
    </w:p>
    <w:p w14:paraId="0FAA9B5D"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18:  Northern Mariana Islands    MNP</w:t>
      </w:r>
    </w:p>
    <w:p w14:paraId="1F16FF87"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19:               Puerto Rico    PRI</w:t>
      </w:r>
    </w:p>
    <w:p w14:paraId="50558F1F"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20: Sint Maarten (Dutch </w:t>
      </w:r>
      <w:proofErr w:type="gramStart"/>
      <w:r>
        <w:rPr>
          <w:rStyle w:val="gnvwddmdn3b"/>
          <w:rFonts w:ascii="Lucida Console" w:eastAsiaTheme="majorEastAsia" w:hAnsi="Lucida Console"/>
          <w:color w:val="000000"/>
          <w:bdr w:val="none" w:sz="0" w:space="0" w:color="auto" w:frame="1"/>
        </w:rPr>
        <w:t xml:space="preserve">part)   </w:t>
      </w:r>
      <w:proofErr w:type="gramEnd"/>
      <w:r>
        <w:rPr>
          <w:rStyle w:val="gnvwddmdn3b"/>
          <w:rFonts w:ascii="Lucida Console" w:eastAsiaTheme="majorEastAsia" w:hAnsi="Lucida Console"/>
          <w:color w:val="000000"/>
          <w:bdr w:val="none" w:sz="0" w:space="0" w:color="auto" w:frame="1"/>
        </w:rPr>
        <w:t xml:space="preserve"> SXM</w:t>
      </w:r>
    </w:p>
    <w:p w14:paraId="7D607120"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21:  St. Martin (French </w:t>
      </w:r>
      <w:proofErr w:type="gramStart"/>
      <w:r>
        <w:rPr>
          <w:rStyle w:val="gnvwddmdn3b"/>
          <w:rFonts w:ascii="Lucida Console" w:eastAsiaTheme="majorEastAsia" w:hAnsi="Lucida Console"/>
          <w:color w:val="000000"/>
          <w:bdr w:val="none" w:sz="0" w:space="0" w:color="auto" w:frame="1"/>
        </w:rPr>
        <w:t xml:space="preserve">part)   </w:t>
      </w:r>
      <w:proofErr w:type="gramEnd"/>
      <w:r>
        <w:rPr>
          <w:rStyle w:val="gnvwddmdn3b"/>
          <w:rFonts w:ascii="Lucida Console" w:eastAsiaTheme="majorEastAsia" w:hAnsi="Lucida Console"/>
          <w:color w:val="000000"/>
          <w:bdr w:val="none" w:sz="0" w:space="0" w:color="auto" w:frame="1"/>
        </w:rPr>
        <w:t xml:space="preserve"> MAF</w:t>
      </w:r>
    </w:p>
    <w:p w14:paraId="77E0C2CC"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22:  Turks and Caicos Islands    TCA</w:t>
      </w:r>
    </w:p>
    <w:p w14:paraId="049DF4CA" w14:textId="77777777" w:rsidR="001C3E4B" w:rsidRDefault="001C3E4B" w:rsidP="001C3E4B">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23:     Virgin Islands (U.S.)    VIR</w:t>
      </w:r>
    </w:p>
    <w:p w14:paraId="3AC4936B" w14:textId="77777777" w:rsidR="001C3E4B" w:rsidRDefault="001C3E4B" w:rsidP="001C3E4B">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24:        West Bank and Gaza    PSE</w:t>
      </w:r>
    </w:p>
    <w:p w14:paraId="5DA2D17B" w14:textId="77777777" w:rsidR="001C3E4B" w:rsidRPr="00424851" w:rsidRDefault="001C3E4B" w:rsidP="00971759"/>
    <w:p w14:paraId="13A88BAE" w14:textId="77777777" w:rsidR="004B3838" w:rsidRDefault="00424851" w:rsidP="004B3838">
      <w:pPr>
        <w:numPr>
          <w:ilvl w:val="0"/>
          <w:numId w:val="13"/>
        </w:numPr>
      </w:pPr>
      <w:r w:rsidRPr="00424851">
        <w:rPr>
          <w:b/>
          <w:bCs/>
        </w:rPr>
        <w:t>Share of low- and middle-income economies</w:t>
      </w:r>
      <w:r w:rsidRPr="00424851">
        <w:t>: This metric measures the percent of low- and middle-income economies for which data is available. We use the total number of LMICs as of today as the denominator.</w:t>
      </w:r>
    </w:p>
    <w:p w14:paraId="2E464D43" w14:textId="77777777" w:rsidR="00A420D8" w:rsidRDefault="00424851" w:rsidP="00A420D8">
      <w:pPr>
        <w:numPr>
          <w:ilvl w:val="0"/>
          <w:numId w:val="13"/>
        </w:numPr>
      </w:pPr>
      <w:r w:rsidRPr="004B3838">
        <w:rPr>
          <w:b/>
          <w:bCs/>
        </w:rPr>
        <w:t>Absolute latest year</w:t>
      </w:r>
      <w:r w:rsidRPr="00424851">
        <w:t>: This metric measures the most recent year of data available for an indicator.</w:t>
      </w:r>
    </w:p>
    <w:p w14:paraId="424E6118" w14:textId="221FC120" w:rsidR="0037495A" w:rsidRPr="0037495A" w:rsidRDefault="0037495A" w:rsidP="0037495A">
      <w:pPr>
        <w:ind w:left="720"/>
      </w:pPr>
      <w:r w:rsidRPr="0037495A">
        <w:t xml:space="preserve">EDGAR data spans </w:t>
      </w:r>
      <w:r>
        <w:t xml:space="preserve">1970-2022 and Grassi et al. </w:t>
      </w:r>
      <w:r w:rsidRPr="0037495A">
        <w:rPr>
          <w:lang w:val="pt-BR"/>
        </w:rPr>
        <w:t xml:space="preserve">LULUCF data spans 2000-2022. </w:t>
      </w:r>
      <w:r w:rsidRPr="0037495A">
        <w:t>As the data is modelled,</w:t>
      </w:r>
      <w:r>
        <w:t xml:space="preserve"> </w:t>
      </w:r>
      <w:r w:rsidRPr="0037495A">
        <w:t xml:space="preserve">there are no missing </w:t>
      </w:r>
      <w:r>
        <w:t>values.</w:t>
      </w:r>
    </w:p>
    <w:p w14:paraId="7B700013" w14:textId="45AEFC62" w:rsidR="00A420D8" w:rsidRDefault="00AA5664" w:rsidP="00A420D8">
      <w:pPr>
        <w:numPr>
          <w:ilvl w:val="0"/>
          <w:numId w:val="13"/>
        </w:numPr>
      </w:pPr>
      <w:r w:rsidRPr="0037495A">
        <w:rPr>
          <w:b/>
          <w:bCs/>
        </w:rPr>
        <w:t xml:space="preserve"> </w:t>
      </w:r>
      <w:r w:rsidR="00424851" w:rsidRPr="00A420D8">
        <w:rPr>
          <w:b/>
          <w:bCs/>
        </w:rPr>
        <w:t>Median latest year</w:t>
      </w:r>
      <w:r w:rsidR="00424851" w:rsidRPr="00424851">
        <w:t xml:space="preserve">: This metric takes the most recent year of data available for each country for </w:t>
      </w:r>
      <w:proofErr w:type="gramStart"/>
      <w:r w:rsidR="00424851" w:rsidRPr="00424851">
        <w:t>the</w:t>
      </w:r>
      <w:r w:rsidR="004B7863">
        <w:t xml:space="preserve"> </w:t>
      </w:r>
      <w:r w:rsidR="00424851" w:rsidRPr="00424851">
        <w:t xml:space="preserve"> indicator</w:t>
      </w:r>
      <w:proofErr w:type="gramEnd"/>
      <w:r w:rsidR="00424851" w:rsidRPr="00424851">
        <w:t xml:space="preserve"> and then calculate the median.</w:t>
      </w:r>
    </w:p>
    <w:p w14:paraId="48409A1F" w14:textId="2BDE2A31" w:rsidR="0037495A" w:rsidRPr="0037495A" w:rsidRDefault="0037495A" w:rsidP="0037495A">
      <w:pPr>
        <w:ind w:left="720"/>
      </w:pPr>
      <w:r w:rsidRPr="0037495A">
        <w:t>There is no variation in the latest year as the data is modelled.</w:t>
      </w:r>
    </w:p>
    <w:p w14:paraId="46BECEB0" w14:textId="77777777" w:rsidR="00A420D8" w:rsidRDefault="00AA5664" w:rsidP="00A420D8">
      <w:pPr>
        <w:numPr>
          <w:ilvl w:val="0"/>
          <w:numId w:val="13"/>
        </w:numPr>
      </w:pPr>
      <w:r w:rsidRPr="00A420D8">
        <w:rPr>
          <w:b/>
          <w:bCs/>
        </w:rPr>
        <w:t xml:space="preserve"> </w:t>
      </w:r>
      <w:r w:rsidR="00424851" w:rsidRPr="00A420D8">
        <w:rPr>
          <w:b/>
          <w:bCs/>
        </w:rPr>
        <w:t>Span of years</w:t>
      </w:r>
      <w:r w:rsidR="00424851" w:rsidRPr="00424851">
        <w:t xml:space="preserve">: This metric measures the total number of years for which data is available for this indicator. We take the </w:t>
      </w:r>
      <w:proofErr w:type="gramStart"/>
      <w:r w:rsidR="00424851" w:rsidRPr="00424851">
        <w:t>first year</w:t>
      </w:r>
      <w:proofErr w:type="gramEnd"/>
      <w:r w:rsidR="00424851" w:rsidRPr="00424851">
        <w:t xml:space="preserve"> data and latest year for which any data is available and calculating the span between these years.</w:t>
      </w:r>
    </w:p>
    <w:p w14:paraId="3B328345" w14:textId="2315D3EF" w:rsidR="0037495A" w:rsidRPr="0037495A" w:rsidRDefault="0037495A" w:rsidP="0037495A">
      <w:pPr>
        <w:ind w:left="720"/>
      </w:pPr>
      <w:r w:rsidRPr="0037495A">
        <w:t>Span of years</w:t>
      </w:r>
      <w:r>
        <w:t xml:space="preserve"> is the same for all countries</w:t>
      </w:r>
      <w:r w:rsidR="004847FA">
        <w:t>. For EDGAR data the span is 53 years, for Grassi data the span is 21 years.</w:t>
      </w:r>
    </w:p>
    <w:p w14:paraId="4B94705D" w14:textId="443999F7" w:rsidR="00724364" w:rsidRDefault="00A420D8" w:rsidP="00C93D8C">
      <w:pPr>
        <w:numPr>
          <w:ilvl w:val="0"/>
          <w:numId w:val="13"/>
        </w:numPr>
      </w:pPr>
      <w:r w:rsidRPr="00A420D8">
        <w:rPr>
          <w:b/>
          <w:bCs/>
        </w:rPr>
        <w:t>Non-missing data:</w:t>
      </w:r>
      <w:r w:rsidRPr="00424851">
        <w:t> This metric measures the share of non-missing data within its availability. The span is restricted to the indicator span and country coverage previously calculated, and not the span and coverage of the WDI.</w:t>
      </w:r>
    </w:p>
    <w:p w14:paraId="607A05B3" w14:textId="2D36EAC2" w:rsidR="00A420D8" w:rsidRPr="00A603F6" w:rsidRDefault="004847FA" w:rsidP="00A603F6">
      <w:r>
        <w:lastRenderedPageBreak/>
        <w:t xml:space="preserve"> </w:t>
      </w:r>
      <w:r>
        <w:tab/>
      </w:r>
      <w:r w:rsidR="00F0253A">
        <w:t xml:space="preserve">For some countries, </w:t>
      </w:r>
      <w:r w:rsidR="00A603F6">
        <w:t xml:space="preserve">the is no data for </w:t>
      </w:r>
      <w:r w:rsidR="00A603F6" w:rsidRPr="00724364">
        <w:rPr>
          <w:i/>
          <w:iCs/>
        </w:rPr>
        <w:t>Greenhouse gas emissions: Carbon Dioxide (CO2) (Sector = Waste)</w:t>
      </w:r>
      <w:r w:rsidR="00A603F6" w:rsidRPr="00A603F6">
        <w:t xml:space="preserve"> and </w:t>
      </w:r>
      <w:r w:rsidR="00A603F6" w:rsidRPr="00724364">
        <w:rPr>
          <w:i/>
          <w:iCs/>
        </w:rPr>
        <w:t>Greenhouse gas emissions: Methane (CH4) (Sector = Industrial Processes and Product Use)</w:t>
      </w:r>
      <w:r w:rsidR="00A603F6">
        <w:rPr>
          <w:i/>
          <w:iCs/>
        </w:rPr>
        <w:t xml:space="preserve"> </w:t>
      </w:r>
    </w:p>
    <w:tbl>
      <w:tblPr>
        <w:tblStyle w:val="PlainTable3"/>
        <w:tblW w:w="9360" w:type="dxa"/>
        <w:tblLook w:val="04A0" w:firstRow="1" w:lastRow="0" w:firstColumn="1" w:lastColumn="0" w:noHBand="0" w:noVBand="1"/>
      </w:tblPr>
      <w:tblGrid>
        <w:gridCol w:w="4410"/>
        <w:gridCol w:w="836"/>
        <w:gridCol w:w="976"/>
        <w:gridCol w:w="790"/>
        <w:gridCol w:w="719"/>
        <w:gridCol w:w="784"/>
        <w:gridCol w:w="845"/>
      </w:tblGrid>
      <w:tr w:rsidR="00D255DC" w:rsidRPr="00724364" w14:paraId="3ED48EF0" w14:textId="77777777" w:rsidTr="00724364">
        <w:trPr>
          <w:cnfStyle w:val="100000000000" w:firstRow="1" w:lastRow="0" w:firstColumn="0" w:lastColumn="0" w:oddVBand="0" w:evenVBand="0" w:oddHBand="0" w:evenHBand="0" w:firstRowFirstColumn="0" w:firstRowLastColumn="0" w:lastRowFirstColumn="0" w:lastRowLastColumn="0"/>
          <w:cantSplit/>
          <w:trHeight w:val="2232"/>
        </w:trPr>
        <w:tc>
          <w:tcPr>
            <w:cnfStyle w:val="001000000100" w:firstRow="0" w:lastRow="0" w:firstColumn="1" w:lastColumn="0" w:oddVBand="0" w:evenVBand="0" w:oddHBand="0" w:evenHBand="0" w:firstRowFirstColumn="1" w:firstRowLastColumn="0" w:lastRowFirstColumn="0" w:lastRowLastColumn="0"/>
            <w:tcW w:w="4410" w:type="dxa"/>
            <w:noWrap/>
            <w:hideMark/>
          </w:tcPr>
          <w:p w14:paraId="6CF84AC7" w14:textId="5C7A9BC6" w:rsidR="00724364" w:rsidRPr="00724364" w:rsidRDefault="00724364" w:rsidP="00724364">
            <w:pPr>
              <w:tabs>
                <w:tab w:val="left" w:pos="1080"/>
              </w:tabs>
              <w:outlineLvl w:val="7"/>
              <w:rPr>
                <w:rFonts w:ascii="Calibri" w:eastAsia="Times New Roman" w:hAnsi="Calibri" w:cs="Calibri"/>
                <w:color w:val="000000"/>
              </w:rPr>
            </w:pPr>
            <w:r w:rsidRPr="00724364">
              <w:rPr>
                <w:rFonts w:ascii="Calibri" w:eastAsia="Times New Roman" w:hAnsi="Calibri" w:cs="Calibri"/>
                <w:color w:val="000000"/>
              </w:rPr>
              <w:t>Indicator name</w:t>
            </w:r>
          </w:p>
        </w:tc>
        <w:tc>
          <w:tcPr>
            <w:tcW w:w="836" w:type="dxa"/>
            <w:noWrap/>
            <w:textDirection w:val="btLr"/>
            <w:hideMark/>
          </w:tcPr>
          <w:p w14:paraId="0C59ACEE"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hybrid_score_wgtd2</w:t>
            </w:r>
          </w:p>
        </w:tc>
        <w:tc>
          <w:tcPr>
            <w:tcW w:w="976" w:type="dxa"/>
            <w:noWrap/>
            <w:textDirection w:val="btLr"/>
            <w:hideMark/>
          </w:tcPr>
          <w:p w14:paraId="674BEB05"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n_country</w:t>
            </w:r>
          </w:p>
        </w:tc>
        <w:tc>
          <w:tcPr>
            <w:tcW w:w="790" w:type="dxa"/>
            <w:noWrap/>
            <w:textDirection w:val="btLr"/>
            <w:hideMark/>
          </w:tcPr>
          <w:p w14:paraId="6684005F"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p_lmic</w:t>
            </w:r>
          </w:p>
        </w:tc>
        <w:tc>
          <w:tcPr>
            <w:tcW w:w="719" w:type="dxa"/>
            <w:noWrap/>
            <w:textDirection w:val="btLr"/>
            <w:hideMark/>
          </w:tcPr>
          <w:p w14:paraId="710F2961"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yearlatest</w:t>
            </w:r>
          </w:p>
        </w:tc>
        <w:tc>
          <w:tcPr>
            <w:tcW w:w="784" w:type="dxa"/>
            <w:noWrap/>
            <w:textDirection w:val="btLr"/>
            <w:hideMark/>
          </w:tcPr>
          <w:p w14:paraId="6DB36B84"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span_years</w:t>
            </w:r>
          </w:p>
        </w:tc>
        <w:tc>
          <w:tcPr>
            <w:tcW w:w="845" w:type="dxa"/>
            <w:noWrap/>
            <w:textDirection w:val="btLr"/>
            <w:hideMark/>
          </w:tcPr>
          <w:p w14:paraId="17309BC5" w14:textId="77777777" w:rsidR="00724364" w:rsidRPr="00724364" w:rsidRDefault="00724364" w:rsidP="00724364">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nonmiss_tot</w:t>
            </w:r>
          </w:p>
        </w:tc>
      </w:tr>
      <w:tr w:rsidR="00D255DC" w:rsidRPr="00724364" w14:paraId="79069B38"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7B7C53C4" w14:textId="77777777" w:rsidR="00724364" w:rsidRPr="00724364" w:rsidRDefault="00724364" w:rsidP="00724364">
            <w:pPr>
              <w:rPr>
                <w:rFonts w:ascii="Calibri" w:eastAsia="Times New Roman" w:hAnsi="Calibri" w:cs="Calibri"/>
                <w:sz w:val="20"/>
                <w:szCs w:val="20"/>
                <w:lang w:eastAsia="ko-KR"/>
              </w:rPr>
            </w:pPr>
            <w:r w:rsidRPr="00724364">
              <w:rPr>
                <w:rFonts w:ascii="Calibri" w:eastAsia="Times New Roman" w:hAnsi="Calibri" w:cs="Calibri"/>
                <w:sz w:val="20"/>
                <w:szCs w:val="20"/>
                <w:lang w:eastAsia="ko-KR"/>
              </w:rPr>
              <w:t>Greenhouse gas emissions: All Kyoto Gases (Total excluding LULUCF)</w:t>
            </w:r>
          </w:p>
        </w:tc>
        <w:tc>
          <w:tcPr>
            <w:tcW w:w="836" w:type="dxa"/>
            <w:noWrap/>
            <w:hideMark/>
          </w:tcPr>
          <w:p w14:paraId="6BA68A7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6F1A4E8B"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5F441292"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5189506B"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1BDEE97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51B071B2"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237D69AB"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0D7DA038"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(Total excluding LULUCF)</w:t>
            </w:r>
          </w:p>
        </w:tc>
        <w:tc>
          <w:tcPr>
            <w:tcW w:w="836" w:type="dxa"/>
            <w:noWrap/>
            <w:hideMark/>
          </w:tcPr>
          <w:p w14:paraId="277834F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499509E0"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75A8B2E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63E47AF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F4F674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3439ABB7"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47346C02"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D4B84F6"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Methane (CH4) (Total excluding LULUCF)</w:t>
            </w:r>
          </w:p>
        </w:tc>
        <w:tc>
          <w:tcPr>
            <w:tcW w:w="836" w:type="dxa"/>
            <w:noWrap/>
            <w:hideMark/>
          </w:tcPr>
          <w:p w14:paraId="7538A1E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18A871F7"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1128D03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65C7E23B"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03EE9FE"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48A39914"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31B17CFF"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4120571A"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Nitrous Oxide (N2O) (Total excluding LULUCF)</w:t>
            </w:r>
          </w:p>
        </w:tc>
        <w:tc>
          <w:tcPr>
            <w:tcW w:w="836" w:type="dxa"/>
            <w:noWrap/>
            <w:hideMark/>
          </w:tcPr>
          <w:p w14:paraId="10BA5A2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5820B47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201</w:t>
            </w:r>
          </w:p>
        </w:tc>
        <w:tc>
          <w:tcPr>
            <w:tcW w:w="790" w:type="dxa"/>
            <w:noWrap/>
            <w:hideMark/>
          </w:tcPr>
          <w:p w14:paraId="79B78168"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95.52</w:t>
            </w:r>
          </w:p>
        </w:tc>
        <w:tc>
          <w:tcPr>
            <w:tcW w:w="719" w:type="dxa"/>
            <w:noWrap/>
            <w:hideMark/>
          </w:tcPr>
          <w:p w14:paraId="0FEC66A0"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7B29B4B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0A06608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99.01</w:t>
            </w:r>
          </w:p>
        </w:tc>
      </w:tr>
      <w:tr w:rsidR="00D255DC" w:rsidRPr="00724364" w14:paraId="0AFCCD1C"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011522B3"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All Kyoto Gases (Sector = Agriculture)</w:t>
            </w:r>
          </w:p>
        </w:tc>
        <w:tc>
          <w:tcPr>
            <w:tcW w:w="836" w:type="dxa"/>
            <w:noWrap/>
            <w:hideMark/>
          </w:tcPr>
          <w:p w14:paraId="22E0DB4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27484F97"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193</w:t>
            </w:r>
          </w:p>
        </w:tc>
        <w:tc>
          <w:tcPr>
            <w:tcW w:w="790" w:type="dxa"/>
            <w:noWrap/>
            <w:hideMark/>
          </w:tcPr>
          <w:p w14:paraId="1C222651"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94.78</w:t>
            </w:r>
          </w:p>
        </w:tc>
        <w:tc>
          <w:tcPr>
            <w:tcW w:w="719" w:type="dxa"/>
            <w:noWrap/>
            <w:hideMark/>
          </w:tcPr>
          <w:p w14:paraId="6524B41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C1D1967"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13645425"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95.07</w:t>
            </w:r>
          </w:p>
        </w:tc>
      </w:tr>
      <w:tr w:rsidR="00D255DC" w:rsidRPr="00724364" w14:paraId="48D106ED"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F557175"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All Kyoto Gases (Sector = Energy)</w:t>
            </w:r>
          </w:p>
        </w:tc>
        <w:tc>
          <w:tcPr>
            <w:tcW w:w="836" w:type="dxa"/>
            <w:noWrap/>
            <w:hideMark/>
          </w:tcPr>
          <w:p w14:paraId="2BEE578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71A03DC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197</w:t>
            </w:r>
          </w:p>
        </w:tc>
        <w:tc>
          <w:tcPr>
            <w:tcW w:w="790" w:type="dxa"/>
            <w:noWrap/>
            <w:hideMark/>
          </w:tcPr>
          <w:p w14:paraId="2B6E67B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94.03</w:t>
            </w:r>
          </w:p>
        </w:tc>
        <w:tc>
          <w:tcPr>
            <w:tcW w:w="719" w:type="dxa"/>
            <w:noWrap/>
            <w:hideMark/>
          </w:tcPr>
          <w:p w14:paraId="458E87EA"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0800F61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27ECF71E"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97.04</w:t>
            </w:r>
          </w:p>
        </w:tc>
      </w:tr>
      <w:tr w:rsidR="00D255DC" w:rsidRPr="00724364" w14:paraId="1BD726DD"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6038173"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All Kyoto Gases (Sector = Industrial Processes and Product Use)</w:t>
            </w:r>
          </w:p>
        </w:tc>
        <w:tc>
          <w:tcPr>
            <w:tcW w:w="836" w:type="dxa"/>
            <w:noWrap/>
            <w:hideMark/>
          </w:tcPr>
          <w:p w14:paraId="1F89D9F8"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067BB39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52A69AE6"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5C9155F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E9C2B4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58359D0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25284660"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27FA9AAB"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All Kyoto Gases (Sector = Waste)</w:t>
            </w:r>
          </w:p>
        </w:tc>
        <w:tc>
          <w:tcPr>
            <w:tcW w:w="836" w:type="dxa"/>
            <w:noWrap/>
            <w:hideMark/>
          </w:tcPr>
          <w:p w14:paraId="540C564E"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7857D36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5C56649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795EFCC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C154AE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67E707E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30A22141"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5208F98"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(Sector = Energy)</w:t>
            </w:r>
          </w:p>
        </w:tc>
        <w:tc>
          <w:tcPr>
            <w:tcW w:w="836" w:type="dxa"/>
            <w:noWrap/>
            <w:hideMark/>
          </w:tcPr>
          <w:p w14:paraId="1D316EF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0C7AF524"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194</w:t>
            </w:r>
          </w:p>
        </w:tc>
        <w:tc>
          <w:tcPr>
            <w:tcW w:w="790" w:type="dxa"/>
            <w:noWrap/>
            <w:hideMark/>
          </w:tcPr>
          <w:p w14:paraId="641B1FC5"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94.03</w:t>
            </w:r>
          </w:p>
        </w:tc>
        <w:tc>
          <w:tcPr>
            <w:tcW w:w="719" w:type="dxa"/>
            <w:noWrap/>
            <w:hideMark/>
          </w:tcPr>
          <w:p w14:paraId="7F9EC385"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08BFC84B"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4073AC34"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95.57</w:t>
            </w:r>
          </w:p>
        </w:tc>
      </w:tr>
      <w:tr w:rsidR="00D255DC" w:rsidRPr="00724364" w14:paraId="002C6A9E"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56E296B3"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(Sector = Industrial Processes and Product Use)</w:t>
            </w:r>
          </w:p>
        </w:tc>
        <w:tc>
          <w:tcPr>
            <w:tcW w:w="836" w:type="dxa"/>
            <w:noWrap/>
            <w:hideMark/>
          </w:tcPr>
          <w:p w14:paraId="4DBC33E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482128AC"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3B2227F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28636A7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08F86B98"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3D444C3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060C390E"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4302EF50"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(Sector = Waste)</w:t>
            </w:r>
          </w:p>
        </w:tc>
        <w:tc>
          <w:tcPr>
            <w:tcW w:w="836" w:type="dxa"/>
            <w:noWrap/>
            <w:hideMark/>
          </w:tcPr>
          <w:p w14:paraId="62A3A794" w14:textId="53916B64"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3.18</w:t>
            </w:r>
          </w:p>
        </w:tc>
        <w:tc>
          <w:tcPr>
            <w:tcW w:w="976" w:type="dxa"/>
            <w:noWrap/>
            <w:hideMark/>
          </w:tcPr>
          <w:p w14:paraId="3B60C6FC"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97</w:t>
            </w:r>
          </w:p>
        </w:tc>
        <w:tc>
          <w:tcPr>
            <w:tcW w:w="790" w:type="dxa"/>
            <w:noWrap/>
            <w:hideMark/>
          </w:tcPr>
          <w:p w14:paraId="0ABE92C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38.81</w:t>
            </w:r>
          </w:p>
        </w:tc>
        <w:tc>
          <w:tcPr>
            <w:tcW w:w="719" w:type="dxa"/>
            <w:noWrap/>
            <w:hideMark/>
          </w:tcPr>
          <w:p w14:paraId="4C12B9D5"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057007C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35E7509C"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724364">
              <w:rPr>
                <w:rFonts w:ascii="Calibri" w:eastAsia="Times New Roman" w:hAnsi="Calibri" w:cs="Calibri"/>
                <w:b/>
                <w:bCs/>
                <w:color w:val="FF0000"/>
              </w:rPr>
              <w:t>47.78</w:t>
            </w:r>
          </w:p>
        </w:tc>
      </w:tr>
      <w:tr w:rsidR="00D255DC" w:rsidRPr="00724364" w14:paraId="3942E4C0"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389A92D" w14:textId="77777777" w:rsidR="00724364" w:rsidRDefault="00724364" w:rsidP="00724364">
            <w:pPr>
              <w:rPr>
                <w:rFonts w:ascii="Calibri" w:eastAsia="Times New Roman" w:hAnsi="Calibri" w:cs="Calibri"/>
                <w:sz w:val="20"/>
                <w:szCs w:val="20"/>
                <w:lang w:eastAsia="ko-KR"/>
              </w:rPr>
            </w:pPr>
            <w:r w:rsidRPr="00724364">
              <w:rPr>
                <w:rFonts w:ascii="Calibri" w:eastAsia="Times New Roman" w:hAnsi="Calibri" w:cs="Calibri"/>
                <w:b w:val="0"/>
                <w:bCs w:val="0"/>
                <w:caps w:val="0"/>
                <w:sz w:val="20"/>
                <w:szCs w:val="20"/>
                <w:lang w:eastAsia="ko-KR"/>
              </w:rPr>
              <w:t xml:space="preserve">Greenhouse gas emissions: Methane (CH4) </w:t>
            </w:r>
          </w:p>
          <w:p w14:paraId="1DF59366" w14:textId="5DBC154A"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(Sector = Agriculture)</w:t>
            </w:r>
          </w:p>
        </w:tc>
        <w:tc>
          <w:tcPr>
            <w:tcW w:w="836" w:type="dxa"/>
            <w:noWrap/>
            <w:hideMark/>
          </w:tcPr>
          <w:p w14:paraId="7124643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1C2508EB"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193</w:t>
            </w:r>
          </w:p>
        </w:tc>
        <w:tc>
          <w:tcPr>
            <w:tcW w:w="790" w:type="dxa"/>
            <w:noWrap/>
            <w:hideMark/>
          </w:tcPr>
          <w:p w14:paraId="53D3D3B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94.78</w:t>
            </w:r>
          </w:p>
        </w:tc>
        <w:tc>
          <w:tcPr>
            <w:tcW w:w="719" w:type="dxa"/>
            <w:noWrap/>
            <w:hideMark/>
          </w:tcPr>
          <w:p w14:paraId="006F1EF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420344F1"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1278A447"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95.07</w:t>
            </w:r>
          </w:p>
        </w:tc>
      </w:tr>
      <w:tr w:rsidR="00D255DC" w:rsidRPr="00724364" w14:paraId="460DDA68"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678C03E7" w14:textId="77777777" w:rsidR="00724364" w:rsidRDefault="00724364" w:rsidP="00724364">
            <w:pPr>
              <w:rPr>
                <w:rFonts w:ascii="Calibri" w:eastAsia="Times New Roman" w:hAnsi="Calibri" w:cs="Calibri"/>
                <w:sz w:val="20"/>
                <w:szCs w:val="20"/>
                <w:lang w:eastAsia="ko-KR"/>
              </w:rPr>
            </w:pPr>
            <w:r w:rsidRPr="00724364">
              <w:rPr>
                <w:rFonts w:ascii="Calibri" w:eastAsia="Times New Roman" w:hAnsi="Calibri" w:cs="Calibri"/>
                <w:b w:val="0"/>
                <w:bCs w:val="0"/>
                <w:caps w:val="0"/>
                <w:sz w:val="20"/>
                <w:szCs w:val="20"/>
                <w:lang w:eastAsia="ko-KR"/>
              </w:rPr>
              <w:t xml:space="preserve">Greenhouse gas emissions: Methane (CH4) </w:t>
            </w:r>
          </w:p>
          <w:p w14:paraId="564E72FD" w14:textId="232BEF6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(Sector = Energy)</w:t>
            </w:r>
          </w:p>
        </w:tc>
        <w:tc>
          <w:tcPr>
            <w:tcW w:w="836" w:type="dxa"/>
            <w:noWrap/>
            <w:hideMark/>
          </w:tcPr>
          <w:p w14:paraId="1A9E3A91"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43397A4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197</w:t>
            </w:r>
          </w:p>
        </w:tc>
        <w:tc>
          <w:tcPr>
            <w:tcW w:w="790" w:type="dxa"/>
            <w:noWrap/>
            <w:hideMark/>
          </w:tcPr>
          <w:p w14:paraId="0F15F3EE"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94.03</w:t>
            </w:r>
          </w:p>
        </w:tc>
        <w:tc>
          <w:tcPr>
            <w:tcW w:w="719" w:type="dxa"/>
            <w:noWrap/>
            <w:hideMark/>
          </w:tcPr>
          <w:p w14:paraId="583BB306"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054FC48D"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603400C1"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97.04</w:t>
            </w:r>
          </w:p>
        </w:tc>
      </w:tr>
      <w:tr w:rsidR="00D255DC" w:rsidRPr="00724364" w14:paraId="749F31AF"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83C5601" w14:textId="77777777" w:rsidR="00724364" w:rsidRDefault="00724364" w:rsidP="00724364">
            <w:pPr>
              <w:rPr>
                <w:rFonts w:ascii="Calibri" w:eastAsia="Times New Roman" w:hAnsi="Calibri" w:cs="Calibri"/>
                <w:sz w:val="20"/>
                <w:szCs w:val="20"/>
                <w:lang w:eastAsia="ko-KR"/>
              </w:rPr>
            </w:pPr>
            <w:r w:rsidRPr="00724364">
              <w:rPr>
                <w:rFonts w:ascii="Calibri" w:eastAsia="Times New Roman" w:hAnsi="Calibri" w:cs="Calibri"/>
                <w:b w:val="0"/>
                <w:bCs w:val="0"/>
                <w:caps w:val="0"/>
                <w:sz w:val="20"/>
                <w:szCs w:val="20"/>
                <w:lang w:eastAsia="ko-KR"/>
              </w:rPr>
              <w:t xml:space="preserve">Greenhouse gas emissions: Methane (CH4) </w:t>
            </w:r>
          </w:p>
          <w:p w14:paraId="1C80B002" w14:textId="04F3CE41"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(Sector = Industrial Processes and Product Use)</w:t>
            </w:r>
          </w:p>
        </w:tc>
        <w:tc>
          <w:tcPr>
            <w:tcW w:w="836" w:type="dxa"/>
            <w:noWrap/>
            <w:hideMark/>
          </w:tcPr>
          <w:p w14:paraId="0FED099B" w14:textId="7C071FF2"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3.0</w:t>
            </w:r>
            <w:r>
              <w:rPr>
                <w:rFonts w:ascii="Calibri" w:eastAsia="Times New Roman" w:hAnsi="Calibri" w:cs="Calibri"/>
                <w:color w:val="000000"/>
              </w:rPr>
              <w:t>7</w:t>
            </w:r>
          </w:p>
        </w:tc>
        <w:tc>
          <w:tcPr>
            <w:tcW w:w="976" w:type="dxa"/>
            <w:noWrap/>
            <w:hideMark/>
          </w:tcPr>
          <w:p w14:paraId="139640B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w:t>
            </w:r>
          </w:p>
        </w:tc>
        <w:tc>
          <w:tcPr>
            <w:tcW w:w="790" w:type="dxa"/>
            <w:noWrap/>
            <w:hideMark/>
          </w:tcPr>
          <w:p w14:paraId="063DC2A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35.82</w:t>
            </w:r>
          </w:p>
        </w:tc>
        <w:tc>
          <w:tcPr>
            <w:tcW w:w="719" w:type="dxa"/>
            <w:noWrap/>
            <w:hideMark/>
          </w:tcPr>
          <w:p w14:paraId="0A60C15B"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3CE6873E"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72DF1E6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724364">
              <w:rPr>
                <w:rFonts w:ascii="Calibri" w:eastAsia="Times New Roman" w:hAnsi="Calibri" w:cs="Calibri"/>
                <w:b/>
                <w:bCs/>
                <w:color w:val="FF0000"/>
              </w:rPr>
              <w:t>46.31</w:t>
            </w:r>
          </w:p>
        </w:tc>
      </w:tr>
      <w:tr w:rsidR="00D255DC" w:rsidRPr="00724364" w14:paraId="49CF6C51"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A41EA9B"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Methane (CH4) (Sector = Waste)</w:t>
            </w:r>
          </w:p>
        </w:tc>
        <w:tc>
          <w:tcPr>
            <w:tcW w:w="836" w:type="dxa"/>
            <w:noWrap/>
            <w:hideMark/>
          </w:tcPr>
          <w:p w14:paraId="6DD202A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2CBD231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6EF8734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4C6BA55D"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58B3C5B6"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03B4CAA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31330B3E"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357B3EBC" w14:textId="77777777" w:rsidR="00724364" w:rsidRPr="00724364" w:rsidRDefault="00724364" w:rsidP="00724364">
            <w:pPr>
              <w:rPr>
                <w:rFonts w:ascii="Calibri" w:eastAsia="Times New Roman" w:hAnsi="Calibri" w:cs="Calibri"/>
                <w:b w:val="0"/>
                <w:bCs w:val="0"/>
                <w:caps w:val="0"/>
                <w:sz w:val="20"/>
                <w:szCs w:val="20"/>
                <w:lang w:val="pt-BR" w:eastAsia="ko-KR"/>
              </w:rPr>
            </w:pPr>
            <w:r w:rsidRPr="00724364">
              <w:rPr>
                <w:rFonts w:ascii="Calibri" w:eastAsia="Times New Roman" w:hAnsi="Calibri" w:cs="Calibri"/>
                <w:b w:val="0"/>
                <w:bCs w:val="0"/>
                <w:caps w:val="0"/>
                <w:sz w:val="20"/>
                <w:szCs w:val="20"/>
                <w:lang w:val="pt-BR" w:eastAsia="ko-KR"/>
              </w:rPr>
              <w:t>Greenhouse gas emissions: Nitrous Oxide (N2O) (Sector = Agriculture)</w:t>
            </w:r>
          </w:p>
        </w:tc>
        <w:tc>
          <w:tcPr>
            <w:tcW w:w="836" w:type="dxa"/>
            <w:noWrap/>
            <w:hideMark/>
          </w:tcPr>
          <w:p w14:paraId="54228DEF"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4CABE948"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193</w:t>
            </w:r>
          </w:p>
        </w:tc>
        <w:tc>
          <w:tcPr>
            <w:tcW w:w="790" w:type="dxa"/>
            <w:noWrap/>
            <w:hideMark/>
          </w:tcPr>
          <w:p w14:paraId="7A2158BA"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94.78</w:t>
            </w:r>
          </w:p>
        </w:tc>
        <w:tc>
          <w:tcPr>
            <w:tcW w:w="719" w:type="dxa"/>
            <w:noWrap/>
            <w:hideMark/>
          </w:tcPr>
          <w:p w14:paraId="6C55D526"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33DEFD21"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0CA1AB3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95.07</w:t>
            </w:r>
          </w:p>
        </w:tc>
      </w:tr>
      <w:tr w:rsidR="00D255DC" w:rsidRPr="00724364" w14:paraId="06A74358"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0E431953" w14:textId="77777777" w:rsidR="00724364" w:rsidRPr="00724364" w:rsidRDefault="00724364" w:rsidP="00724364">
            <w:pPr>
              <w:rPr>
                <w:rFonts w:ascii="Calibri" w:eastAsia="Times New Roman" w:hAnsi="Calibri" w:cs="Calibri"/>
                <w:b w:val="0"/>
                <w:bCs w:val="0"/>
                <w:caps w:val="0"/>
                <w:sz w:val="20"/>
                <w:szCs w:val="20"/>
                <w:lang w:val="pt-BR" w:eastAsia="ko-KR"/>
              </w:rPr>
            </w:pPr>
            <w:r w:rsidRPr="00724364">
              <w:rPr>
                <w:rFonts w:ascii="Calibri" w:eastAsia="Times New Roman" w:hAnsi="Calibri" w:cs="Calibri"/>
                <w:b w:val="0"/>
                <w:bCs w:val="0"/>
                <w:caps w:val="0"/>
                <w:sz w:val="20"/>
                <w:szCs w:val="20"/>
                <w:lang w:val="pt-BR" w:eastAsia="ko-KR"/>
              </w:rPr>
              <w:t>Greenhouse gas emissions: Nitrous Oxide (N2O) (Sector = Energy)</w:t>
            </w:r>
          </w:p>
        </w:tc>
        <w:tc>
          <w:tcPr>
            <w:tcW w:w="836" w:type="dxa"/>
            <w:noWrap/>
            <w:hideMark/>
          </w:tcPr>
          <w:p w14:paraId="3F2F49C9"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142E8C8C"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197</w:t>
            </w:r>
          </w:p>
        </w:tc>
        <w:tc>
          <w:tcPr>
            <w:tcW w:w="790" w:type="dxa"/>
            <w:noWrap/>
            <w:hideMark/>
          </w:tcPr>
          <w:p w14:paraId="58D2993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94.03</w:t>
            </w:r>
          </w:p>
        </w:tc>
        <w:tc>
          <w:tcPr>
            <w:tcW w:w="719" w:type="dxa"/>
            <w:noWrap/>
            <w:hideMark/>
          </w:tcPr>
          <w:p w14:paraId="224DDD2E"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202AF8A4"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2B9177A2"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97.04</w:t>
            </w:r>
          </w:p>
        </w:tc>
      </w:tr>
      <w:tr w:rsidR="00D255DC" w:rsidRPr="00724364" w14:paraId="3AE2E1D1"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59CF3101"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Nitrous Oxide (N2O) (Sector = Industrial Processes and Product Use)</w:t>
            </w:r>
          </w:p>
        </w:tc>
        <w:tc>
          <w:tcPr>
            <w:tcW w:w="836" w:type="dxa"/>
            <w:noWrap/>
            <w:hideMark/>
          </w:tcPr>
          <w:p w14:paraId="7C97C961"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66157C28"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200</w:t>
            </w:r>
          </w:p>
        </w:tc>
        <w:tc>
          <w:tcPr>
            <w:tcW w:w="790" w:type="dxa"/>
            <w:noWrap/>
            <w:hideMark/>
          </w:tcPr>
          <w:p w14:paraId="6148F65A"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94.78</w:t>
            </w:r>
          </w:p>
        </w:tc>
        <w:tc>
          <w:tcPr>
            <w:tcW w:w="719" w:type="dxa"/>
            <w:noWrap/>
            <w:hideMark/>
          </w:tcPr>
          <w:p w14:paraId="471FC32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288E443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74DC1A1E"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98.52</w:t>
            </w:r>
          </w:p>
        </w:tc>
      </w:tr>
      <w:tr w:rsidR="00D255DC" w:rsidRPr="00724364" w14:paraId="4B44E404"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2CFDDE93"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Nitrous Oxide (N2O) (Sector = Waste)</w:t>
            </w:r>
          </w:p>
        </w:tc>
        <w:tc>
          <w:tcPr>
            <w:tcW w:w="836" w:type="dxa"/>
            <w:noWrap/>
            <w:hideMark/>
          </w:tcPr>
          <w:p w14:paraId="22508A77"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06DCC1A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198</w:t>
            </w:r>
          </w:p>
        </w:tc>
        <w:tc>
          <w:tcPr>
            <w:tcW w:w="790" w:type="dxa"/>
            <w:noWrap/>
            <w:hideMark/>
          </w:tcPr>
          <w:p w14:paraId="5DFD4BD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94.78</w:t>
            </w:r>
          </w:p>
        </w:tc>
        <w:tc>
          <w:tcPr>
            <w:tcW w:w="719" w:type="dxa"/>
            <w:noWrap/>
            <w:hideMark/>
          </w:tcPr>
          <w:p w14:paraId="5953C887"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7E40D72E"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188BEE62"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97.54</w:t>
            </w:r>
          </w:p>
        </w:tc>
      </w:tr>
      <w:tr w:rsidR="00D255DC" w:rsidRPr="00724364" w14:paraId="1D0B2783"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2CEC530F" w14:textId="77777777" w:rsidR="00724364" w:rsidRPr="00724364" w:rsidRDefault="00724364" w:rsidP="00724364">
            <w:pPr>
              <w:rPr>
                <w:rFonts w:ascii="Calibri" w:eastAsia="Times New Roman" w:hAnsi="Calibri" w:cs="Calibri"/>
                <w:caps w:val="0"/>
                <w:sz w:val="20"/>
                <w:szCs w:val="20"/>
                <w:lang w:eastAsia="ko-KR"/>
              </w:rPr>
            </w:pPr>
            <w:r w:rsidRPr="00724364">
              <w:rPr>
                <w:rFonts w:ascii="Calibri" w:eastAsia="Times New Roman" w:hAnsi="Calibri" w:cs="Calibri"/>
                <w:caps w:val="0"/>
                <w:color w:val="FF0000"/>
                <w:sz w:val="20"/>
                <w:szCs w:val="20"/>
                <w:lang w:eastAsia="ko-KR"/>
              </w:rPr>
              <w:t>Greenhouse gas emissions: Carbon Dioxide (CO2) (Sector = LULUCF)</w:t>
            </w:r>
          </w:p>
        </w:tc>
        <w:tc>
          <w:tcPr>
            <w:tcW w:w="836" w:type="dxa"/>
            <w:noWrap/>
            <w:hideMark/>
          </w:tcPr>
          <w:p w14:paraId="013B259E" w14:textId="64C56D02"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3.86</w:t>
            </w:r>
          </w:p>
        </w:tc>
        <w:tc>
          <w:tcPr>
            <w:tcW w:w="976" w:type="dxa"/>
            <w:noWrap/>
            <w:hideMark/>
          </w:tcPr>
          <w:p w14:paraId="551ED698"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185</w:t>
            </w:r>
          </w:p>
        </w:tc>
        <w:tc>
          <w:tcPr>
            <w:tcW w:w="790" w:type="dxa"/>
            <w:noWrap/>
            <w:hideMark/>
          </w:tcPr>
          <w:p w14:paraId="1B1B67E7"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93.28</w:t>
            </w:r>
          </w:p>
        </w:tc>
        <w:tc>
          <w:tcPr>
            <w:tcW w:w="719" w:type="dxa"/>
            <w:noWrap/>
            <w:hideMark/>
          </w:tcPr>
          <w:p w14:paraId="056DD05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2020</w:t>
            </w:r>
          </w:p>
        </w:tc>
        <w:tc>
          <w:tcPr>
            <w:tcW w:w="784" w:type="dxa"/>
            <w:noWrap/>
            <w:hideMark/>
          </w:tcPr>
          <w:p w14:paraId="60DDDDF6"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724364">
              <w:rPr>
                <w:rFonts w:ascii="Calibri" w:eastAsia="Times New Roman" w:hAnsi="Calibri" w:cs="Calibri"/>
                <w:b/>
                <w:bCs/>
                <w:color w:val="FF0000"/>
              </w:rPr>
              <w:t>21</w:t>
            </w:r>
          </w:p>
        </w:tc>
        <w:tc>
          <w:tcPr>
            <w:tcW w:w="845" w:type="dxa"/>
            <w:noWrap/>
            <w:hideMark/>
          </w:tcPr>
          <w:p w14:paraId="3A991017"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724364">
              <w:rPr>
                <w:rFonts w:ascii="Calibri" w:eastAsia="Times New Roman" w:hAnsi="Calibri" w:cs="Calibri"/>
                <w:b/>
                <w:bCs/>
                <w:color w:val="FF0000"/>
              </w:rPr>
              <w:t>36.11</w:t>
            </w:r>
          </w:p>
        </w:tc>
      </w:tr>
      <w:tr w:rsidR="00D255DC" w:rsidRPr="00724364" w14:paraId="4BFF3B57"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4FF7884F"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lastRenderedPageBreak/>
              <w:t>Greenhouse gas emissions: All Kyoto Gases (Total excluding LULUCF) per capita</w:t>
            </w:r>
          </w:p>
        </w:tc>
        <w:tc>
          <w:tcPr>
            <w:tcW w:w="836" w:type="dxa"/>
            <w:noWrap/>
            <w:hideMark/>
          </w:tcPr>
          <w:p w14:paraId="66350F9F"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1CA52732"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06DD7A3E"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79A73E2A"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2008C074"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0ACBEAE6"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5B3D2135"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199464E1"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(Total excluding LULUCF) per capita</w:t>
            </w:r>
          </w:p>
        </w:tc>
        <w:tc>
          <w:tcPr>
            <w:tcW w:w="836" w:type="dxa"/>
            <w:noWrap/>
            <w:hideMark/>
          </w:tcPr>
          <w:p w14:paraId="6CEED145"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20DF337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2DC6F9C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45695069"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743EB56A"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24C2AB94"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3ED81255" w14:textId="77777777" w:rsidTr="007243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532FE34B"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All Kyoto Gases (Total excluding LULUCF) per 2021 PPP $ of GDP</w:t>
            </w:r>
          </w:p>
        </w:tc>
        <w:tc>
          <w:tcPr>
            <w:tcW w:w="836" w:type="dxa"/>
            <w:noWrap/>
            <w:hideMark/>
          </w:tcPr>
          <w:p w14:paraId="6F2F8371"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0CD28608"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036C9DAD"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78E9B53C"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38DAB243"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38F58ABC" w14:textId="77777777" w:rsidR="00724364" w:rsidRPr="00724364" w:rsidRDefault="00724364" w:rsidP="007243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r w:rsidR="00D255DC" w:rsidRPr="00724364" w14:paraId="763CE08D" w14:textId="77777777" w:rsidTr="00724364">
        <w:trPr>
          <w:trHeight w:val="300"/>
        </w:trPr>
        <w:tc>
          <w:tcPr>
            <w:cnfStyle w:val="001000000000" w:firstRow="0" w:lastRow="0" w:firstColumn="1" w:lastColumn="0" w:oddVBand="0" w:evenVBand="0" w:oddHBand="0" w:evenHBand="0" w:firstRowFirstColumn="0" w:firstRowLastColumn="0" w:lastRowFirstColumn="0" w:lastRowLastColumn="0"/>
            <w:tcW w:w="4410" w:type="dxa"/>
            <w:noWrap/>
            <w:hideMark/>
          </w:tcPr>
          <w:p w14:paraId="02441E06" w14:textId="77777777" w:rsidR="00724364" w:rsidRPr="00724364" w:rsidRDefault="00724364" w:rsidP="00724364">
            <w:pPr>
              <w:rPr>
                <w:rFonts w:ascii="Calibri" w:eastAsia="Times New Roman" w:hAnsi="Calibri" w:cs="Calibri"/>
                <w:b w:val="0"/>
                <w:bCs w:val="0"/>
                <w:caps w:val="0"/>
                <w:sz w:val="20"/>
                <w:szCs w:val="20"/>
                <w:lang w:eastAsia="ko-KR"/>
              </w:rPr>
            </w:pPr>
            <w:r w:rsidRPr="00724364">
              <w:rPr>
                <w:rFonts w:ascii="Calibri" w:eastAsia="Times New Roman" w:hAnsi="Calibri" w:cs="Calibri"/>
                <w:b w:val="0"/>
                <w:bCs w:val="0"/>
                <w:caps w:val="0"/>
                <w:sz w:val="20"/>
                <w:szCs w:val="20"/>
                <w:lang w:eastAsia="ko-KR"/>
              </w:rPr>
              <w:t>Greenhouse gas emissions: Carbon Dioxide (CO2) (Total excluding LULUCF) per 2021 PPP $ of GDP</w:t>
            </w:r>
          </w:p>
        </w:tc>
        <w:tc>
          <w:tcPr>
            <w:tcW w:w="836" w:type="dxa"/>
            <w:noWrap/>
            <w:hideMark/>
          </w:tcPr>
          <w:p w14:paraId="0A40892D"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4</w:t>
            </w:r>
          </w:p>
        </w:tc>
        <w:tc>
          <w:tcPr>
            <w:tcW w:w="976" w:type="dxa"/>
            <w:noWrap/>
            <w:hideMark/>
          </w:tcPr>
          <w:p w14:paraId="68DB3147"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203</w:t>
            </w:r>
          </w:p>
        </w:tc>
        <w:tc>
          <w:tcPr>
            <w:tcW w:w="790" w:type="dxa"/>
            <w:noWrap/>
            <w:hideMark/>
          </w:tcPr>
          <w:p w14:paraId="3BFE6EE3"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96.27</w:t>
            </w:r>
          </w:p>
        </w:tc>
        <w:tc>
          <w:tcPr>
            <w:tcW w:w="719" w:type="dxa"/>
            <w:noWrap/>
            <w:hideMark/>
          </w:tcPr>
          <w:p w14:paraId="2AF0DFEB"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2022</w:t>
            </w:r>
          </w:p>
        </w:tc>
        <w:tc>
          <w:tcPr>
            <w:tcW w:w="784" w:type="dxa"/>
            <w:noWrap/>
            <w:hideMark/>
          </w:tcPr>
          <w:p w14:paraId="75CB11F6"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53</w:t>
            </w:r>
          </w:p>
        </w:tc>
        <w:tc>
          <w:tcPr>
            <w:tcW w:w="845" w:type="dxa"/>
            <w:noWrap/>
            <w:hideMark/>
          </w:tcPr>
          <w:p w14:paraId="0A7CF12C" w14:textId="77777777" w:rsidR="00724364" w:rsidRPr="00724364" w:rsidRDefault="00724364" w:rsidP="007243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364">
              <w:rPr>
                <w:rFonts w:ascii="Calibri" w:eastAsia="Times New Roman" w:hAnsi="Calibri" w:cs="Calibri"/>
                <w:color w:val="000000"/>
              </w:rPr>
              <w:t>100</w:t>
            </w:r>
          </w:p>
        </w:tc>
      </w:tr>
    </w:tbl>
    <w:p w14:paraId="1D695EB8" w14:textId="77777777" w:rsidR="00724364" w:rsidRDefault="00724364" w:rsidP="00724364"/>
    <w:p w14:paraId="70883EBD" w14:textId="231453EA" w:rsidR="00424851" w:rsidRPr="00424851" w:rsidRDefault="00BC1D93" w:rsidP="00E64386">
      <w:pPr>
        <w:pStyle w:val="ListParagraph"/>
        <w:numPr>
          <w:ilvl w:val="0"/>
          <w:numId w:val="24"/>
        </w:numPr>
      </w:pPr>
      <w:r>
        <w:t>High Quality</w:t>
      </w:r>
      <w:r w:rsidR="00424851" w:rsidRPr="00424851">
        <w:t>:</w:t>
      </w:r>
    </w:p>
    <w:p w14:paraId="4AA94AF0" w14:textId="77777777" w:rsidR="00C528E3" w:rsidRPr="00211872" w:rsidRDefault="00F15AA0" w:rsidP="00F15AA0">
      <w:pPr>
        <w:pStyle w:val="ListParagraph"/>
        <w:numPr>
          <w:ilvl w:val="0"/>
          <w:numId w:val="16"/>
        </w:numPr>
      </w:pPr>
      <w:r w:rsidRPr="00403F61">
        <w:rPr>
          <w:b/>
          <w:bCs/>
        </w:rPr>
        <w:t>Source</w:t>
      </w:r>
      <w:r>
        <w:rPr>
          <w:b/>
          <w:bCs/>
        </w:rPr>
        <w:t xml:space="preserve">: </w:t>
      </w:r>
    </w:p>
    <w:p w14:paraId="6BDF162F" w14:textId="60DA73EF" w:rsidR="00E20760" w:rsidRPr="00E20760" w:rsidRDefault="00E20760" w:rsidP="00E20760">
      <w:pPr>
        <w:spacing w:after="0" w:line="240" w:lineRule="auto"/>
        <w:ind w:right="75"/>
        <w:textAlignment w:val="baseline"/>
      </w:pPr>
      <w:r w:rsidRPr="00E20760">
        <w:t>Th</w:t>
      </w:r>
      <w:r>
        <w:t>ese</w:t>
      </w:r>
      <w:r w:rsidRPr="00E20760">
        <w:t xml:space="preserve"> indicator</w:t>
      </w:r>
      <w:r>
        <w:t>s</w:t>
      </w:r>
      <w:r w:rsidRPr="00E20760">
        <w:t xml:space="preserve"> at the global and regional level </w:t>
      </w:r>
      <w:r w:rsidR="003F7621">
        <w:t>are</w:t>
      </w:r>
      <w:r w:rsidRPr="00E20760">
        <w:t xml:space="preserve"> based directly on the Joint Research Center’s Emissions Database for Global Atmospheric Research (EDGAR), augmented by preliminary estimates for the land use, land use change and forestry (LULUCF) that were developed for the Research Center’s annual report, GHG Emissions of all World Countries, 2023. EDGAR includes GHG emissions based on international statistics from the IEA, FAO, USGS and other reputable sources, which are harmonized via a consistent Intergovernmental Panel on Climate Change (IPCC) methodology. This harmonization permits an unbiased cross-country and sector-by-sector comparison, as countries’ own self-reported data may use different methodologies and exclude different types of data, depending on the country capacity and particularly for the LULUCF sectors. These data are currently available through 2022 and are updated annually. For this indicator the data can be obtained from two locations. For the non-LULUCF data, the EDGAR data are presented at two levels of sectoral disaggregation. For all </w:t>
      </w:r>
      <w:r w:rsidR="0062503A">
        <w:t>indicators</w:t>
      </w:r>
      <w:r w:rsidRPr="00E20760">
        <w:t xml:space="preserve"> the dataset provided as part of the annual report was used.</w:t>
      </w:r>
    </w:p>
    <w:p w14:paraId="6863083A" w14:textId="77777777" w:rsidR="00E20760" w:rsidRPr="00E20760" w:rsidRDefault="00E20760" w:rsidP="00E20760">
      <w:pPr>
        <w:spacing w:after="0" w:line="240" w:lineRule="auto"/>
        <w:ind w:right="75"/>
        <w:textAlignment w:val="baseline"/>
      </w:pPr>
    </w:p>
    <w:p w14:paraId="3A3F7C5A" w14:textId="77777777" w:rsidR="00E20760" w:rsidRPr="00E20760" w:rsidRDefault="00E20760" w:rsidP="00E20760">
      <w:pPr>
        <w:spacing w:after="0" w:line="240" w:lineRule="auto"/>
        <w:ind w:right="75"/>
        <w:textAlignment w:val="baseline"/>
      </w:pPr>
      <w:r w:rsidRPr="00E20760">
        <w:t>The country-level data for LULUCF, however, are based on a hybrid dataset produced by Grassi et al., (2023) which is more reflective of country-submitted estimates for these sectors.</w:t>
      </w:r>
      <w:r w:rsidRPr="00E20760">
        <w:footnoteReference w:id="3"/>
      </w:r>
      <w:r w:rsidRPr="00E20760">
        <w:t xml:space="preserve"> This method draws data from submissions and briefs to the UNFCCC and REDD+, independent reports, satellite data, and wildfire data to report emissions and removals under four primary categories (managed forest land, deforestation, organic soils, other land uses) at the regional level. These data are currently only available until 2020, although there are plans to update these data in 2024 and annually thereafter.</w:t>
      </w:r>
    </w:p>
    <w:p w14:paraId="30925606" w14:textId="77777777" w:rsidR="00E20760" w:rsidRPr="00E20760" w:rsidRDefault="00E20760" w:rsidP="00E20760">
      <w:pPr>
        <w:spacing w:after="0" w:line="240" w:lineRule="auto"/>
        <w:ind w:right="75"/>
        <w:textAlignment w:val="baseline"/>
      </w:pPr>
    </w:p>
    <w:p w14:paraId="78FAE909" w14:textId="138E76E1" w:rsidR="00E20760" w:rsidRPr="00E20760" w:rsidRDefault="00E20760" w:rsidP="00E20760">
      <w:pPr>
        <w:spacing w:after="0" w:line="240" w:lineRule="auto"/>
        <w:ind w:right="75"/>
        <w:textAlignment w:val="baseline"/>
      </w:pPr>
      <w:r w:rsidRPr="00E20760">
        <w:t>The emissions estimates from EDGAR are used in numerous reputable publications. The European Commission produces an annual report, GHG Emissions of All World Countries, which summarizes these data and describes notable updates from prior years. The United Nations Environment Program (UNEP)’s Emissions Gap Report, also uses EDGAR data to both describe emissions trends and relate them to global progress towards the Paris Agreement’s GHG emissions reductions targets and countries’ Nationally Determined Contributions (NDCs) and Long-term Strategies (LTS). Additionally, EDGAR data are used in the IPCC’s 6th Assessment Report, Working Group 3, Mitigation of Climate Change, serving as the definitive scientific assessment of the state of global GHG emissions.</w:t>
      </w:r>
    </w:p>
    <w:p w14:paraId="1BD56576" w14:textId="77777777" w:rsidR="00600EF9" w:rsidRPr="00600EF9" w:rsidRDefault="00600EF9" w:rsidP="00600EF9">
      <w:pPr>
        <w:pStyle w:val="ecl-u-type-paragraph"/>
        <w:jc w:val="both"/>
        <w:rPr>
          <w:rFonts w:asciiTheme="minorHAnsi" w:eastAsiaTheme="minorHAnsi" w:hAnsiTheme="minorHAnsi" w:cstheme="minorBidi"/>
          <w:sz w:val="22"/>
          <w:szCs w:val="22"/>
        </w:rPr>
      </w:pPr>
      <w:r w:rsidRPr="00600EF9">
        <w:rPr>
          <w:rFonts w:asciiTheme="minorHAnsi" w:eastAsiaTheme="minorHAnsi" w:hAnsiTheme="minorHAnsi" w:cstheme="minorBidi"/>
          <w:sz w:val="22"/>
          <w:szCs w:val="22"/>
        </w:rPr>
        <w:t xml:space="preserve">EDGAR (Emissions Database for Global Atmospheric Research) Community GHG Database, a collaboration between the European Commission, Joint Research Centre (JRC), the International Energy Agency (IEA), and comprising IEA-EDGAR CO2, EDGAR CH4, EDGAR N2O, EDGAR F-GASES version 8.0, (2023) European </w:t>
      </w:r>
      <w:r w:rsidRPr="00600EF9">
        <w:rPr>
          <w:rFonts w:asciiTheme="minorHAnsi" w:eastAsiaTheme="minorHAnsi" w:hAnsiTheme="minorHAnsi" w:cstheme="minorBidi"/>
          <w:sz w:val="22"/>
          <w:szCs w:val="22"/>
        </w:rPr>
        <w:lastRenderedPageBreak/>
        <w:t>Commission, JRC (Datasets). The complete citation of the EDGAR Community GHG Database is available in the 'Sources and References' section.</w:t>
      </w:r>
    </w:p>
    <w:p w14:paraId="64A23369" w14:textId="77777777" w:rsidR="00600EF9" w:rsidRPr="00600EF9" w:rsidRDefault="00600EF9" w:rsidP="00600EF9">
      <w:pPr>
        <w:pStyle w:val="ecl-u-type-paragraph"/>
        <w:spacing w:before="0" w:after="0" w:afterAutospacing="0"/>
        <w:jc w:val="both"/>
        <w:rPr>
          <w:rFonts w:asciiTheme="minorHAnsi" w:eastAsiaTheme="minorHAnsi" w:hAnsiTheme="minorHAnsi" w:cstheme="minorBidi"/>
          <w:sz w:val="22"/>
          <w:szCs w:val="22"/>
        </w:rPr>
      </w:pPr>
      <w:r w:rsidRPr="00600EF9">
        <w:rPr>
          <w:rFonts w:asciiTheme="minorHAnsi" w:eastAsiaTheme="minorHAnsi" w:hAnsiTheme="minorHAnsi" w:cstheme="minorBidi"/>
          <w:sz w:val="22"/>
          <w:szCs w:val="22"/>
        </w:rPr>
        <w:t>IEA-EDGAR CO2, a component of the EDGAR (Emissions Database for Global Atmospheric Research) Community GHG database version 8.0 (2023) including or based on data from IEA (2022) Greenhouse Gas Emissions from Energy, </w:t>
      </w:r>
      <w:hyperlink r:id="rId14" w:tgtFrame="_blank" w:history="1">
        <w:r w:rsidRPr="00600EF9">
          <w:rPr>
            <w:rFonts w:asciiTheme="minorHAnsi" w:eastAsiaTheme="minorHAnsi" w:hAnsiTheme="minorHAnsi" w:cstheme="minorBidi"/>
            <w:sz w:val="22"/>
            <w:szCs w:val="22"/>
          </w:rPr>
          <w:t>www.iea.org/data-and-statistics</w:t>
        </w:r>
      </w:hyperlink>
      <w:r w:rsidRPr="00600EF9">
        <w:rPr>
          <w:rFonts w:asciiTheme="minorHAnsi" w:eastAsiaTheme="minorHAnsi" w:hAnsiTheme="minorHAnsi" w:cstheme="minorBidi"/>
          <w:sz w:val="22"/>
          <w:szCs w:val="22"/>
        </w:rPr>
        <w:t>, as modified by the Joint Research Centre.</w:t>
      </w:r>
    </w:p>
    <w:p w14:paraId="3D9B314A" w14:textId="77777777" w:rsidR="00600EF9" w:rsidRPr="00600EF9" w:rsidRDefault="00600EF9" w:rsidP="00600EF9">
      <w:pPr>
        <w:pStyle w:val="ecl-u-type-paragraph"/>
        <w:spacing w:before="0" w:after="0" w:afterAutospacing="0"/>
        <w:jc w:val="both"/>
        <w:rPr>
          <w:rFonts w:asciiTheme="minorHAnsi" w:eastAsiaTheme="minorHAnsi" w:hAnsiTheme="minorHAnsi" w:cstheme="minorBidi"/>
          <w:sz w:val="22"/>
          <w:szCs w:val="22"/>
        </w:rPr>
      </w:pPr>
      <w:r w:rsidRPr="00600EF9">
        <w:rPr>
          <w:rFonts w:asciiTheme="minorHAnsi" w:eastAsiaTheme="minorHAnsi" w:hAnsiTheme="minorHAnsi" w:cstheme="minorBidi"/>
          <w:sz w:val="22"/>
          <w:szCs w:val="22"/>
        </w:rPr>
        <w:t>Users of the data are obliged to acknowledge the source of the data also with reference to the EDGARv8.0 website (</w:t>
      </w:r>
      <w:hyperlink r:id="rId15" w:tgtFrame="_blank" w:history="1">
        <w:r w:rsidRPr="00600EF9">
          <w:rPr>
            <w:rFonts w:asciiTheme="minorHAnsi" w:eastAsiaTheme="minorHAnsi" w:hAnsiTheme="minorHAnsi" w:cstheme="minorBidi"/>
            <w:sz w:val="22"/>
            <w:szCs w:val="22"/>
          </w:rPr>
          <w:t>link</w:t>
        </w:r>
      </w:hyperlink>
      <w:r w:rsidRPr="00600EF9">
        <w:rPr>
          <w:rFonts w:asciiTheme="minorHAnsi" w:eastAsiaTheme="minorHAnsi" w:hAnsiTheme="minorHAnsi" w:cstheme="minorBidi"/>
          <w:sz w:val="22"/>
          <w:szCs w:val="22"/>
        </w:rPr>
        <w:t>) and/or relevant reports.</w:t>
      </w:r>
    </w:p>
    <w:p w14:paraId="1AFC81D5" w14:textId="041D1D2F" w:rsidR="00A31C2C" w:rsidRDefault="00C528E3" w:rsidP="00A31C2C">
      <w:pPr>
        <w:pStyle w:val="ListParagraph"/>
        <w:ind w:left="1080"/>
        <w:rPr>
          <w:b/>
          <w:bCs/>
        </w:rPr>
      </w:pPr>
      <w:r w:rsidRPr="00EC2C3F">
        <w:rPr>
          <w:b/>
          <w:bCs/>
        </w:rPr>
        <w:t xml:space="preserve"> </w:t>
      </w:r>
    </w:p>
    <w:p w14:paraId="6BC8BADD" w14:textId="115F95A4" w:rsidR="00FC083A" w:rsidRDefault="00424851" w:rsidP="00A31C2C">
      <w:pPr>
        <w:pStyle w:val="ListParagraph"/>
        <w:ind w:left="1080"/>
      </w:pPr>
      <w:r w:rsidRPr="00424851">
        <w:rPr>
          <w:b/>
          <w:bCs/>
        </w:rPr>
        <w:t>Unique visitors</w:t>
      </w:r>
      <w:r w:rsidR="00403F61">
        <w:rPr>
          <w:b/>
          <w:bCs/>
        </w:rPr>
        <w:t xml:space="preserve"> (if available)</w:t>
      </w:r>
      <w:r w:rsidRPr="00424851">
        <w:rPr>
          <w:b/>
          <w:bCs/>
        </w:rPr>
        <w:t>:</w:t>
      </w:r>
      <w:r w:rsidRPr="00424851">
        <w:t> </w:t>
      </w:r>
      <w:r w:rsidR="00147658">
        <w:t xml:space="preserve">Not available </w:t>
      </w:r>
    </w:p>
    <w:p w14:paraId="21F0DEDA" w14:textId="77777777" w:rsidR="00576D21" w:rsidRDefault="00576D21" w:rsidP="00A31C2C">
      <w:pPr>
        <w:pStyle w:val="ListParagraph"/>
        <w:ind w:left="1080"/>
      </w:pPr>
    </w:p>
    <w:p w14:paraId="28F09DA8" w14:textId="6C1C1AE8" w:rsidR="000431B8" w:rsidRDefault="000431B8" w:rsidP="00111089">
      <w:pPr>
        <w:pStyle w:val="ListParagraph"/>
        <w:numPr>
          <w:ilvl w:val="0"/>
          <w:numId w:val="24"/>
        </w:numPr>
      </w:pPr>
      <w:r>
        <w:t xml:space="preserve">Additional </w:t>
      </w:r>
      <w:r w:rsidR="000D2C11">
        <w:t>information</w:t>
      </w:r>
    </w:p>
    <w:p w14:paraId="6AC16DF2" w14:textId="1064FB12" w:rsidR="00281263" w:rsidRDefault="00566245" w:rsidP="00281263">
      <w:pPr>
        <w:pStyle w:val="ListParagraph"/>
        <w:numPr>
          <w:ilvl w:val="0"/>
          <w:numId w:val="25"/>
        </w:numPr>
      </w:pPr>
      <w:r w:rsidRPr="00000942">
        <w:rPr>
          <w:b/>
          <w:bCs/>
        </w:rPr>
        <w:t>External and internal contacts</w:t>
      </w:r>
      <w:r>
        <w:t xml:space="preserve"> (e.g., source </w:t>
      </w:r>
      <w:r w:rsidR="004D1F0E">
        <w:t>agencies</w:t>
      </w:r>
      <w:r>
        <w:t>, counterpart GPs)</w:t>
      </w:r>
      <w:r w:rsidR="00AB42E3">
        <w:t xml:space="preserve"> </w:t>
      </w:r>
      <w:r w:rsidR="000F068B">
        <w:t xml:space="preserve">for </w:t>
      </w:r>
      <w:r w:rsidR="00AB42E3">
        <w:t>follow</w:t>
      </w:r>
      <w:r w:rsidR="000F068B">
        <w:t>-</w:t>
      </w:r>
      <w:r w:rsidR="00AB42E3">
        <w:t>up</w:t>
      </w:r>
      <w:r w:rsidR="000F068B">
        <w:t>s</w:t>
      </w:r>
      <w:r w:rsidR="009A49D7">
        <w:t xml:space="preserve"> and </w:t>
      </w:r>
      <w:r w:rsidR="00910B75">
        <w:t>levels of the World Bank engagement</w:t>
      </w:r>
      <w:r w:rsidR="00281263">
        <w:t>:</w:t>
      </w:r>
    </w:p>
    <w:p w14:paraId="526967D1" w14:textId="0C4CD4E5" w:rsidR="00FD1263" w:rsidRPr="0060007B" w:rsidRDefault="00F102AF" w:rsidP="00FD1263">
      <w:pPr>
        <w:pStyle w:val="ListParagraph"/>
        <w:numPr>
          <w:ilvl w:val="0"/>
          <w:numId w:val="27"/>
        </w:numPr>
      </w:pPr>
      <w:r w:rsidRPr="0060007B">
        <w:t>David Groves</w:t>
      </w:r>
      <w:r w:rsidR="00281263" w:rsidRPr="0060007B">
        <w:t>,</w:t>
      </w:r>
      <w:r w:rsidR="0060007B" w:rsidRPr="0060007B">
        <w:t xml:space="preserve"> Lead </w:t>
      </w:r>
      <w:r w:rsidR="0060007B" w:rsidRPr="00B76B27">
        <w:t>Climate Change S</w:t>
      </w:r>
      <w:r w:rsidR="0060007B">
        <w:t>pecialist</w:t>
      </w:r>
      <w:r w:rsidR="00281263" w:rsidRPr="0060007B">
        <w:t>,</w:t>
      </w:r>
      <w:r w:rsidR="0060007B">
        <w:t xml:space="preserve"> SCCFE, World Bank, dgroves@worldbank.org</w:t>
      </w:r>
    </w:p>
    <w:p w14:paraId="00C353BC" w14:textId="561C5500" w:rsidR="00FD1263" w:rsidRPr="00B76B27" w:rsidRDefault="00FD1263" w:rsidP="00FD1263">
      <w:pPr>
        <w:pStyle w:val="ListParagraph"/>
        <w:numPr>
          <w:ilvl w:val="0"/>
          <w:numId w:val="27"/>
        </w:numPr>
      </w:pPr>
      <w:r w:rsidRPr="00B76B27">
        <w:t>Jichong Wu</w:t>
      </w:r>
      <w:r w:rsidR="00B76B27" w:rsidRPr="00B76B27">
        <w:t>, Climate Change S</w:t>
      </w:r>
      <w:r w:rsidR="00B76B27">
        <w:t xml:space="preserve">pecialist, </w:t>
      </w:r>
      <w:r w:rsidR="00F102AF">
        <w:t>SCCFE, World Bank, jwu18@worldbank.org</w:t>
      </w:r>
    </w:p>
    <w:p w14:paraId="005F1090" w14:textId="77777777" w:rsidR="009A49D7" w:rsidRPr="00B76B27" w:rsidRDefault="009A49D7" w:rsidP="00284AB3">
      <w:pPr>
        <w:pStyle w:val="ListParagraph"/>
      </w:pPr>
    </w:p>
    <w:p w14:paraId="50C2E944" w14:textId="77777777" w:rsidR="00E90244" w:rsidRDefault="00FF3701" w:rsidP="00767A4B">
      <w:pPr>
        <w:pStyle w:val="ListParagraph"/>
        <w:numPr>
          <w:ilvl w:val="0"/>
          <w:numId w:val="25"/>
        </w:numPr>
      </w:pPr>
      <w:r w:rsidRPr="001F3A24">
        <w:rPr>
          <w:b/>
          <w:bCs/>
        </w:rPr>
        <w:t>C</w:t>
      </w:r>
      <w:r w:rsidR="0092443F" w:rsidRPr="001F3A24">
        <w:rPr>
          <w:b/>
          <w:bCs/>
        </w:rPr>
        <w:t>oncerns</w:t>
      </w:r>
      <w:r w:rsidR="0092443F">
        <w:t xml:space="preserve">: </w:t>
      </w:r>
    </w:p>
    <w:p w14:paraId="6EE7F16D" w14:textId="33FFE85C" w:rsidR="00E90244" w:rsidRDefault="00E90244" w:rsidP="00E90244">
      <w:pPr>
        <w:pStyle w:val="ListParagraph"/>
        <w:numPr>
          <w:ilvl w:val="0"/>
          <w:numId w:val="27"/>
        </w:numPr>
      </w:pPr>
      <w:r>
        <w:t>EDGAR has only published a comprehensive dataset for the first time in November 2023</w:t>
      </w:r>
    </w:p>
    <w:p w14:paraId="4AACB47F" w14:textId="04BA9422" w:rsidR="00E90244" w:rsidRDefault="00E90244" w:rsidP="00E90244">
      <w:pPr>
        <w:pStyle w:val="ListParagraph"/>
        <w:numPr>
          <w:ilvl w:val="0"/>
          <w:numId w:val="27"/>
        </w:numPr>
      </w:pPr>
      <w:r>
        <w:t>EDGAR does not include LULUCF data at country-level. The alternative source Grassi only provides data for 2000-2020</w:t>
      </w:r>
      <w:r w:rsidR="00971257">
        <w:t>, which will de soon updated to include 2021 and 2022 to align with EDGAR. No data before 2000.</w:t>
      </w:r>
    </w:p>
    <w:p w14:paraId="726F29D6" w14:textId="258B4B19" w:rsidR="0067554E" w:rsidRDefault="0067554E" w:rsidP="00E90244">
      <w:pPr>
        <w:pStyle w:val="ListParagraph"/>
        <w:numPr>
          <w:ilvl w:val="0"/>
          <w:numId w:val="27"/>
        </w:numPr>
      </w:pPr>
      <w:r>
        <w:t>LULUCF data are largely modelled.</w:t>
      </w:r>
    </w:p>
    <w:p w14:paraId="1B095BD9" w14:textId="40CF99E6" w:rsidR="002B599B" w:rsidRDefault="00C66B53" w:rsidP="00E90244">
      <w:pPr>
        <w:pStyle w:val="ListParagraph"/>
        <w:numPr>
          <w:ilvl w:val="0"/>
          <w:numId w:val="27"/>
        </w:numPr>
      </w:pPr>
      <w:r>
        <w:t xml:space="preserve">License of IEA CO2 data may not allow to calculate derived indicators, such as per capita emissions and </w:t>
      </w:r>
      <w:proofErr w:type="gramStart"/>
      <w:r>
        <w:t>emission</w:t>
      </w:r>
      <w:proofErr w:type="gramEnd"/>
      <w:r>
        <w:t xml:space="preserve"> intensity</w:t>
      </w:r>
    </w:p>
    <w:p w14:paraId="1117A35B" w14:textId="00D6EAA9" w:rsidR="00846DF2" w:rsidRDefault="00772817" w:rsidP="00E90244">
      <w:pPr>
        <w:pStyle w:val="ListParagraph"/>
        <w:numPr>
          <w:ilvl w:val="0"/>
          <w:numId w:val="27"/>
        </w:numPr>
      </w:pPr>
      <w:r>
        <w:t xml:space="preserve">GHG emissions aren’t directly measurable, but estimations/models are </w:t>
      </w:r>
      <w:proofErr w:type="gramStart"/>
      <w:r>
        <w:t>used</w:t>
      </w:r>
      <w:proofErr w:type="gramEnd"/>
    </w:p>
    <w:p w14:paraId="6112941A" w14:textId="77777777" w:rsidR="00CE5627" w:rsidRDefault="00CE5627" w:rsidP="00CE5627">
      <w:pPr>
        <w:pStyle w:val="ListParagraph"/>
        <w:ind w:left="1080"/>
      </w:pPr>
    </w:p>
    <w:p w14:paraId="7078225D" w14:textId="1BF37582" w:rsidR="002B2FD8" w:rsidRDefault="0092443F" w:rsidP="002B2FD8">
      <w:pPr>
        <w:pStyle w:val="ListParagraph"/>
        <w:numPr>
          <w:ilvl w:val="0"/>
          <w:numId w:val="25"/>
        </w:numPr>
      </w:pPr>
      <w:r w:rsidRPr="00DF1C02">
        <w:rPr>
          <w:b/>
          <w:bCs/>
        </w:rPr>
        <w:t xml:space="preserve">Expected workload in </w:t>
      </w:r>
      <w:r w:rsidR="00800D18" w:rsidRPr="00DF1C02">
        <w:rPr>
          <w:b/>
          <w:bCs/>
        </w:rPr>
        <w:t>every update</w:t>
      </w:r>
      <w:r w:rsidR="007F11E4" w:rsidRPr="00DF1C02">
        <w:rPr>
          <w:b/>
          <w:bCs/>
        </w:rPr>
        <w:t xml:space="preserve"> (labor intensiveness)</w:t>
      </w:r>
      <w:r w:rsidR="00281263" w:rsidRPr="00DF1C02">
        <w:rPr>
          <w:b/>
          <w:bCs/>
        </w:rPr>
        <w:t>:</w:t>
      </w:r>
      <w:r w:rsidR="00281263">
        <w:t xml:space="preserve"> </w:t>
      </w:r>
      <w:r w:rsidR="0067554E">
        <w:t>Medium</w:t>
      </w:r>
      <w:r w:rsidR="00DF1C02">
        <w:t>:</w:t>
      </w:r>
      <w:r w:rsidR="00921CDE">
        <w:t xml:space="preserve"> </w:t>
      </w:r>
      <w:r w:rsidR="0067554E">
        <w:t>Data are published in Excel spreadsheets and need to be extracted by indicating sheets/rows. File names and structure may change over time.</w:t>
      </w:r>
    </w:p>
    <w:p w14:paraId="59A601B5" w14:textId="77777777" w:rsidR="004F21D0" w:rsidRDefault="004F21D0" w:rsidP="00284AB3">
      <w:pPr>
        <w:pStyle w:val="ListParagraph"/>
      </w:pPr>
    </w:p>
    <w:p w14:paraId="76A2ABCE" w14:textId="0F4C602E" w:rsidR="004F21D0" w:rsidRDefault="00F11574" w:rsidP="00265E56">
      <w:r>
        <w:t xml:space="preserve">Next steps: After a proposal </w:t>
      </w:r>
      <w:r w:rsidR="00307B5C">
        <w:t xml:space="preserve">for indicator inclusion </w:t>
      </w:r>
      <w:r>
        <w:t>(according to this template)</w:t>
      </w:r>
      <w:r w:rsidR="00CF3C22">
        <w:t xml:space="preserve"> gets submitted</w:t>
      </w:r>
      <w:r w:rsidR="004574E2">
        <w:t>,</w:t>
      </w:r>
      <w:r w:rsidR="000633CA">
        <w:t xml:space="preserve"> the </w:t>
      </w:r>
      <w:r w:rsidR="001F7C3C" w:rsidRPr="001F7C3C">
        <w:t>core criteria team, consisting of DECIS colleagues with different domain knowledge and skills, reviews the proposal monthly and suggests the next steps (e.g., resubmission with further clarification, consultation with thematic specialists).</w:t>
      </w:r>
    </w:p>
    <w:p w14:paraId="355DACC5" w14:textId="2B5FA8FB" w:rsidR="003F7384" w:rsidRPr="00502129" w:rsidRDefault="006D593F" w:rsidP="00265E56">
      <w:pPr>
        <w:rPr>
          <w:b/>
          <w:bCs/>
        </w:rPr>
      </w:pPr>
      <w:r w:rsidRPr="00502129">
        <w:rPr>
          <w:b/>
          <w:bCs/>
        </w:rPr>
        <w:t>Questions</w:t>
      </w:r>
    </w:p>
    <w:p w14:paraId="1B4EF2B2" w14:textId="77777777" w:rsidR="00211872" w:rsidRDefault="00211872" w:rsidP="00211872">
      <w:pPr>
        <w:pStyle w:val="ListParagraph"/>
        <w:numPr>
          <w:ilvl w:val="0"/>
          <w:numId w:val="32"/>
        </w:numPr>
      </w:pPr>
      <w:r>
        <w:t>Do we need to change the indicator codes reflecting the change of source and change from AR4 to AR5 (change of GWP factors, CH4 (25-&gt;28), N20 (298-&gt;265))</w:t>
      </w:r>
    </w:p>
    <w:p w14:paraId="7E4CC511" w14:textId="7A01AA76" w:rsidR="006D593F" w:rsidRDefault="006D593F" w:rsidP="00211872">
      <w:pPr>
        <w:pStyle w:val="ListParagraph"/>
        <w:numPr>
          <w:ilvl w:val="0"/>
          <w:numId w:val="32"/>
        </w:numPr>
      </w:pPr>
      <w:r>
        <w:t>Do we need to include all the CSC</w:t>
      </w:r>
      <w:r w:rsidR="00576D21">
        <w:t>/Climate group</w:t>
      </w:r>
      <w:r>
        <w:t xml:space="preserve"> indicators? For the CSC more subsectors are </w:t>
      </w:r>
      <w:r w:rsidR="00210CC2">
        <w:t>used (</w:t>
      </w:r>
      <w:r w:rsidR="00532C0B">
        <w:t xml:space="preserve">Energy is split out into building, fugitive emissions, industrial combustion, </w:t>
      </w:r>
      <w:r w:rsidR="00502129">
        <w:t>transport)</w:t>
      </w:r>
    </w:p>
    <w:p w14:paraId="36D79989" w14:textId="480960AA" w:rsidR="00210CC2" w:rsidRDefault="00210CC2" w:rsidP="00211872">
      <w:pPr>
        <w:pStyle w:val="ListParagraph"/>
        <w:numPr>
          <w:ilvl w:val="0"/>
          <w:numId w:val="32"/>
        </w:numPr>
      </w:pPr>
      <w:r>
        <w:lastRenderedPageBreak/>
        <w:t>Do we nee</w:t>
      </w:r>
      <w:r w:rsidR="00502129">
        <w:t>d to include the 5 subcategories for LULUCF (deforestation, fires, forest land, organic soil, other land)?</w:t>
      </w:r>
    </w:p>
    <w:p w14:paraId="4547B31D" w14:textId="77777777" w:rsidR="00502129" w:rsidRDefault="00502129" w:rsidP="007515A1"/>
    <w:p w14:paraId="30981722" w14:textId="455135D6" w:rsidR="007515A1" w:rsidRDefault="007515A1" w:rsidP="00846DF2">
      <w:pPr>
        <w:spacing w:after="0" w:line="240" w:lineRule="auto"/>
      </w:pPr>
      <w:r w:rsidRPr="007515A1">
        <w:rPr>
          <w:noProof/>
        </w:rPr>
        <w:lastRenderedPageBreak/>
        <w:drawing>
          <wp:inline distT="0" distB="0" distL="0" distR="0" wp14:anchorId="229D67A0" wp14:editId="3721A67E">
            <wp:extent cx="5934075" cy="811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115300"/>
                    </a:xfrm>
                    <a:prstGeom prst="rect">
                      <a:avLst/>
                    </a:prstGeom>
                    <a:noFill/>
                    <a:ln>
                      <a:noFill/>
                    </a:ln>
                  </pic:spPr>
                </pic:pic>
              </a:graphicData>
            </a:graphic>
          </wp:inline>
        </w:drawing>
      </w:r>
    </w:p>
    <w:sectPr w:rsidR="007515A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C52A4" w14:textId="77777777" w:rsidR="00F53CCD" w:rsidRDefault="00F53CCD" w:rsidP="003D42CA">
      <w:pPr>
        <w:spacing w:after="0" w:line="240" w:lineRule="auto"/>
      </w:pPr>
      <w:r>
        <w:separator/>
      </w:r>
    </w:p>
  </w:endnote>
  <w:endnote w:type="continuationSeparator" w:id="0">
    <w:p w14:paraId="49F3DFE4" w14:textId="77777777" w:rsidR="00F53CCD" w:rsidRDefault="00F53CCD" w:rsidP="003D42CA">
      <w:pPr>
        <w:spacing w:after="0" w:line="240" w:lineRule="auto"/>
      </w:pPr>
      <w:r>
        <w:continuationSeparator/>
      </w:r>
    </w:p>
  </w:endnote>
  <w:endnote w:type="continuationNotice" w:id="1">
    <w:p w14:paraId="708E9835" w14:textId="77777777" w:rsidR="00F53CCD" w:rsidRDefault="00F53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460708"/>
      <w:docPartObj>
        <w:docPartGallery w:val="Page Numbers (Bottom of Page)"/>
        <w:docPartUnique/>
      </w:docPartObj>
    </w:sdtPr>
    <w:sdtEndPr>
      <w:rPr>
        <w:noProof/>
      </w:rPr>
    </w:sdtEndPr>
    <w:sdtContent>
      <w:p w14:paraId="54AB085A" w14:textId="17E38EB0" w:rsidR="00755961" w:rsidRDefault="00755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64A9C" w14:textId="77777777" w:rsidR="00755961" w:rsidRDefault="0075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E1B6" w14:textId="77777777" w:rsidR="00F53CCD" w:rsidRDefault="00F53CCD" w:rsidP="003D42CA">
      <w:pPr>
        <w:spacing w:after="0" w:line="240" w:lineRule="auto"/>
      </w:pPr>
      <w:r>
        <w:separator/>
      </w:r>
    </w:p>
  </w:footnote>
  <w:footnote w:type="continuationSeparator" w:id="0">
    <w:p w14:paraId="3BC03047" w14:textId="77777777" w:rsidR="00F53CCD" w:rsidRDefault="00F53CCD" w:rsidP="003D42CA">
      <w:pPr>
        <w:spacing w:after="0" w:line="240" w:lineRule="auto"/>
      </w:pPr>
      <w:r>
        <w:continuationSeparator/>
      </w:r>
    </w:p>
  </w:footnote>
  <w:footnote w:type="continuationNotice" w:id="1">
    <w:p w14:paraId="0E7F9B48" w14:textId="77777777" w:rsidR="00F53CCD" w:rsidRDefault="00F53CCD">
      <w:pPr>
        <w:spacing w:after="0" w:line="240" w:lineRule="auto"/>
      </w:pPr>
    </w:p>
  </w:footnote>
  <w:footnote w:id="2">
    <w:p w14:paraId="53609CBE" w14:textId="5A33B64B" w:rsidR="000835CF" w:rsidRDefault="000835CF">
      <w:pPr>
        <w:pStyle w:val="FootnoteText"/>
      </w:pPr>
      <w:r>
        <w:rPr>
          <w:rStyle w:val="FootnoteReference"/>
        </w:rPr>
        <w:footnoteRef/>
      </w:r>
      <w:r>
        <w:t xml:space="preserve"> </w:t>
      </w:r>
      <w:r w:rsidRPr="000835CF">
        <w:rPr>
          <w:sz w:val="22"/>
          <w:szCs w:val="22"/>
        </w:rPr>
        <w:t>Generally, a modification rises to the level of an adaptation under copyright law when the modified work is based on the prior work but manifests sufficient new creativity to be copyrightable, such as a translation of a novel from one language to another, or the creation of a screenplay based on a novel.</w:t>
      </w:r>
    </w:p>
  </w:footnote>
  <w:footnote w:id="3">
    <w:p w14:paraId="736A3E3C" w14:textId="77777777" w:rsidR="00E20760" w:rsidRPr="006C16B0" w:rsidRDefault="00E20760" w:rsidP="00E20760">
      <w:pPr>
        <w:pStyle w:val="FootnoteText"/>
      </w:pPr>
      <w:r>
        <w:rPr>
          <w:rStyle w:val="FootnoteReference"/>
        </w:rPr>
        <w:footnoteRef/>
      </w:r>
      <w:r>
        <w:t xml:space="preserve"> National level LULUCF emissions estimates were obtained from the </w:t>
      </w:r>
      <w:r>
        <w:rPr>
          <w:i/>
          <w:iCs/>
        </w:rPr>
        <w:t xml:space="preserve">National inventories LULUCF data 2000-2020 (Dec 2022).xlsx </w:t>
      </w:r>
      <w:r>
        <w:t xml:space="preserve">file available at </w:t>
      </w:r>
      <w:r w:rsidRPr="00830349">
        <w:t>https://zenodo.org/records/7650360</w:t>
      </w:r>
      <w:r>
        <w:t>.</w:t>
      </w:r>
    </w:p>
  </w:footnote>
</w:footnotes>
</file>

<file path=word/intelligence2.xml><?xml version="1.0" encoding="utf-8"?>
<int2:intelligence xmlns:int2="http://schemas.microsoft.com/office/intelligence/2020/intelligence" xmlns:oel="http://schemas.microsoft.com/office/2019/extlst">
  <int2:observations>
    <int2:textHash int2:hashCode="hkooV95NZxul6/" int2:id="i2WKVp6l">
      <int2:state int2:value="Rejected" int2:type="LegacyProofing"/>
    </int2:textHash>
    <int2:textHash int2:hashCode="H4eAVRxR4J6OlM" int2:id="rdNzKwPH">
      <int2:state int2:value="Rejected" int2:type="AugLoop_Acronyms_AcronymsCritique"/>
    </int2:textHash>
    <int2:textHash int2:hashCode="Nc4OPAHqqmFOPl" int2:id="w3YYS9O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FAE"/>
    <w:multiLevelType w:val="hybridMultilevel"/>
    <w:tmpl w:val="AA4EF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3302"/>
    <w:multiLevelType w:val="hybridMultilevel"/>
    <w:tmpl w:val="32960728"/>
    <w:lvl w:ilvl="0" w:tplc="D612EA3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2801"/>
    <w:multiLevelType w:val="multilevel"/>
    <w:tmpl w:val="920C527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 w15:restartNumberingAfterBreak="0">
    <w:nsid w:val="0A5A5CE5"/>
    <w:multiLevelType w:val="hybridMultilevel"/>
    <w:tmpl w:val="C9DA267C"/>
    <w:lvl w:ilvl="0" w:tplc="3306DE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54710"/>
    <w:multiLevelType w:val="hybridMultilevel"/>
    <w:tmpl w:val="D5F4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B31AF"/>
    <w:multiLevelType w:val="hybridMultilevel"/>
    <w:tmpl w:val="9164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F4834"/>
    <w:multiLevelType w:val="hybridMultilevel"/>
    <w:tmpl w:val="66BCD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5A8E"/>
    <w:multiLevelType w:val="hybridMultilevel"/>
    <w:tmpl w:val="159C5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06195"/>
    <w:multiLevelType w:val="hybridMultilevel"/>
    <w:tmpl w:val="25E4E7F2"/>
    <w:lvl w:ilvl="0" w:tplc="D612EA36">
      <w:start w:val="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A57174"/>
    <w:multiLevelType w:val="hybridMultilevel"/>
    <w:tmpl w:val="128848F2"/>
    <w:lvl w:ilvl="0" w:tplc="245C4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DC09B9"/>
    <w:multiLevelType w:val="multilevel"/>
    <w:tmpl w:val="59A0A6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3FE5A01"/>
    <w:multiLevelType w:val="hybridMultilevel"/>
    <w:tmpl w:val="159C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5397C"/>
    <w:multiLevelType w:val="multilevel"/>
    <w:tmpl w:val="F820A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6632CB6"/>
    <w:multiLevelType w:val="hybridMultilevel"/>
    <w:tmpl w:val="161C8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F1D76"/>
    <w:multiLevelType w:val="multilevel"/>
    <w:tmpl w:val="920C527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5" w15:restartNumberingAfterBreak="0">
    <w:nsid w:val="461D1C4C"/>
    <w:multiLevelType w:val="multilevel"/>
    <w:tmpl w:val="920C527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6" w15:restartNumberingAfterBreak="0">
    <w:nsid w:val="48540645"/>
    <w:multiLevelType w:val="hybridMultilevel"/>
    <w:tmpl w:val="6B6E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9366D"/>
    <w:multiLevelType w:val="multilevel"/>
    <w:tmpl w:val="920C527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8" w15:restartNumberingAfterBreak="0">
    <w:nsid w:val="508E1424"/>
    <w:multiLevelType w:val="hybridMultilevel"/>
    <w:tmpl w:val="A72A6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702D7"/>
    <w:multiLevelType w:val="hybridMultilevel"/>
    <w:tmpl w:val="B79EA9D8"/>
    <w:lvl w:ilvl="0" w:tplc="7BEEF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9F31C9"/>
    <w:multiLevelType w:val="hybridMultilevel"/>
    <w:tmpl w:val="B862FB00"/>
    <w:lvl w:ilvl="0" w:tplc="F13076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85DDE"/>
    <w:multiLevelType w:val="hybridMultilevel"/>
    <w:tmpl w:val="DCECFA98"/>
    <w:lvl w:ilvl="0" w:tplc="411C44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3165C"/>
    <w:multiLevelType w:val="hybridMultilevel"/>
    <w:tmpl w:val="EE8A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64136"/>
    <w:multiLevelType w:val="hybridMultilevel"/>
    <w:tmpl w:val="0A969E50"/>
    <w:lvl w:ilvl="0" w:tplc="411C44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A1442"/>
    <w:multiLevelType w:val="multilevel"/>
    <w:tmpl w:val="96EA061E"/>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5" w15:restartNumberingAfterBreak="0">
    <w:nsid w:val="6BDE663A"/>
    <w:multiLevelType w:val="hybridMultilevel"/>
    <w:tmpl w:val="15B2AF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6B1271"/>
    <w:multiLevelType w:val="hybridMultilevel"/>
    <w:tmpl w:val="5FA6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481FEE"/>
    <w:multiLevelType w:val="hybridMultilevel"/>
    <w:tmpl w:val="B0CC1202"/>
    <w:lvl w:ilvl="0" w:tplc="D612EA36">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8C6B72"/>
    <w:multiLevelType w:val="hybridMultilevel"/>
    <w:tmpl w:val="AECA0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BF390F"/>
    <w:multiLevelType w:val="hybridMultilevel"/>
    <w:tmpl w:val="87E4B8F4"/>
    <w:lvl w:ilvl="0" w:tplc="EB5A75A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786832"/>
    <w:multiLevelType w:val="hybridMultilevel"/>
    <w:tmpl w:val="2E52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600D77"/>
    <w:multiLevelType w:val="multilevel"/>
    <w:tmpl w:val="86280B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32237475">
    <w:abstractNumId w:val="4"/>
  </w:num>
  <w:num w:numId="2" w16cid:durableId="389504527">
    <w:abstractNumId w:val="28"/>
  </w:num>
  <w:num w:numId="3" w16cid:durableId="807554566">
    <w:abstractNumId w:val="22"/>
  </w:num>
  <w:num w:numId="4" w16cid:durableId="1887138794">
    <w:abstractNumId w:val="7"/>
  </w:num>
  <w:num w:numId="5" w16cid:durableId="852110550">
    <w:abstractNumId w:val="3"/>
  </w:num>
  <w:num w:numId="6" w16cid:durableId="975136051">
    <w:abstractNumId w:val="21"/>
  </w:num>
  <w:num w:numId="7" w16cid:durableId="624770037">
    <w:abstractNumId w:val="23"/>
  </w:num>
  <w:num w:numId="8" w16cid:durableId="1616864034">
    <w:abstractNumId w:val="5"/>
  </w:num>
  <w:num w:numId="9" w16cid:durableId="1337610588">
    <w:abstractNumId w:val="11"/>
  </w:num>
  <w:num w:numId="10" w16cid:durableId="181283665">
    <w:abstractNumId w:val="13"/>
  </w:num>
  <w:num w:numId="11" w16cid:durableId="1961062088">
    <w:abstractNumId w:val="6"/>
  </w:num>
  <w:num w:numId="12" w16cid:durableId="1225524462">
    <w:abstractNumId w:val="18"/>
  </w:num>
  <w:num w:numId="13" w16cid:durableId="1605764015">
    <w:abstractNumId w:val="15"/>
  </w:num>
  <w:num w:numId="14" w16cid:durableId="2006203687">
    <w:abstractNumId w:val="10"/>
  </w:num>
  <w:num w:numId="15" w16cid:durableId="1028458044">
    <w:abstractNumId w:val="12"/>
  </w:num>
  <w:num w:numId="16" w16cid:durableId="1593735861">
    <w:abstractNumId w:val="24"/>
  </w:num>
  <w:num w:numId="17" w16cid:durableId="938100687">
    <w:abstractNumId w:val="31"/>
  </w:num>
  <w:num w:numId="18" w16cid:durableId="652761792">
    <w:abstractNumId w:val="0"/>
  </w:num>
  <w:num w:numId="19" w16cid:durableId="826361365">
    <w:abstractNumId w:val="29"/>
  </w:num>
  <w:num w:numId="20" w16cid:durableId="1214194412">
    <w:abstractNumId w:val="25"/>
  </w:num>
  <w:num w:numId="21" w16cid:durableId="1566338512">
    <w:abstractNumId w:val="20"/>
  </w:num>
  <w:num w:numId="22" w16cid:durableId="308556544">
    <w:abstractNumId w:val="30"/>
  </w:num>
  <w:num w:numId="23" w16cid:durableId="1364402014">
    <w:abstractNumId w:val="26"/>
  </w:num>
  <w:num w:numId="24" w16cid:durableId="293567016">
    <w:abstractNumId w:val="16"/>
  </w:num>
  <w:num w:numId="25" w16cid:durableId="1780372569">
    <w:abstractNumId w:val="9"/>
  </w:num>
  <w:num w:numId="26" w16cid:durableId="947540151">
    <w:abstractNumId w:val="19"/>
  </w:num>
  <w:num w:numId="27" w16cid:durableId="1697072184">
    <w:abstractNumId w:val="27"/>
  </w:num>
  <w:num w:numId="28" w16cid:durableId="1828548667">
    <w:abstractNumId w:val="2"/>
  </w:num>
  <w:num w:numId="29" w16cid:durableId="1735396725">
    <w:abstractNumId w:val="14"/>
  </w:num>
  <w:num w:numId="30" w16cid:durableId="852840637">
    <w:abstractNumId w:val="17"/>
  </w:num>
  <w:num w:numId="31" w16cid:durableId="1871264671">
    <w:abstractNumId w:val="8"/>
  </w:num>
  <w:num w:numId="32" w16cid:durableId="64443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02"/>
    <w:rsid w:val="00000942"/>
    <w:rsid w:val="00004B0A"/>
    <w:rsid w:val="000116A0"/>
    <w:rsid w:val="00012F0D"/>
    <w:rsid w:val="00013695"/>
    <w:rsid w:val="00014087"/>
    <w:rsid w:val="0001545E"/>
    <w:rsid w:val="00017CA2"/>
    <w:rsid w:val="0002006F"/>
    <w:rsid w:val="0002122F"/>
    <w:rsid w:val="00023147"/>
    <w:rsid w:val="00025F25"/>
    <w:rsid w:val="00030965"/>
    <w:rsid w:val="00030DE0"/>
    <w:rsid w:val="00031EDC"/>
    <w:rsid w:val="00032391"/>
    <w:rsid w:val="000337C8"/>
    <w:rsid w:val="00036FC7"/>
    <w:rsid w:val="000431B8"/>
    <w:rsid w:val="00051F56"/>
    <w:rsid w:val="00060D26"/>
    <w:rsid w:val="00062817"/>
    <w:rsid w:val="000633CA"/>
    <w:rsid w:val="000641A7"/>
    <w:rsid w:val="00064D8D"/>
    <w:rsid w:val="00065E11"/>
    <w:rsid w:val="00071F84"/>
    <w:rsid w:val="00072BB0"/>
    <w:rsid w:val="00073347"/>
    <w:rsid w:val="000736A7"/>
    <w:rsid w:val="000750AC"/>
    <w:rsid w:val="00080AB7"/>
    <w:rsid w:val="000835CF"/>
    <w:rsid w:val="000852FB"/>
    <w:rsid w:val="00092264"/>
    <w:rsid w:val="00094AA6"/>
    <w:rsid w:val="0009702A"/>
    <w:rsid w:val="000A13C1"/>
    <w:rsid w:val="000A4351"/>
    <w:rsid w:val="000A6C94"/>
    <w:rsid w:val="000B047C"/>
    <w:rsid w:val="000B3D63"/>
    <w:rsid w:val="000B4E60"/>
    <w:rsid w:val="000B5C30"/>
    <w:rsid w:val="000C09A3"/>
    <w:rsid w:val="000C187C"/>
    <w:rsid w:val="000C1981"/>
    <w:rsid w:val="000C4033"/>
    <w:rsid w:val="000C4563"/>
    <w:rsid w:val="000C6C3C"/>
    <w:rsid w:val="000D2967"/>
    <w:rsid w:val="000D2C11"/>
    <w:rsid w:val="000D6DB7"/>
    <w:rsid w:val="000D7583"/>
    <w:rsid w:val="000D7A39"/>
    <w:rsid w:val="000E309D"/>
    <w:rsid w:val="000E43CA"/>
    <w:rsid w:val="000E5270"/>
    <w:rsid w:val="000E68E0"/>
    <w:rsid w:val="000E76BB"/>
    <w:rsid w:val="000E7E28"/>
    <w:rsid w:val="000F0093"/>
    <w:rsid w:val="000F068B"/>
    <w:rsid w:val="000F171B"/>
    <w:rsid w:val="000F3FF9"/>
    <w:rsid w:val="000F451E"/>
    <w:rsid w:val="0010641E"/>
    <w:rsid w:val="00111089"/>
    <w:rsid w:val="00113C9F"/>
    <w:rsid w:val="0012063C"/>
    <w:rsid w:val="00124685"/>
    <w:rsid w:val="00131F38"/>
    <w:rsid w:val="00132B1D"/>
    <w:rsid w:val="00146D32"/>
    <w:rsid w:val="00147316"/>
    <w:rsid w:val="00147658"/>
    <w:rsid w:val="001519A0"/>
    <w:rsid w:val="001557FB"/>
    <w:rsid w:val="00160C9B"/>
    <w:rsid w:val="00165885"/>
    <w:rsid w:val="00166E78"/>
    <w:rsid w:val="00170EC9"/>
    <w:rsid w:val="001744F6"/>
    <w:rsid w:val="0018302E"/>
    <w:rsid w:val="00183F3C"/>
    <w:rsid w:val="00185EE0"/>
    <w:rsid w:val="00187022"/>
    <w:rsid w:val="00187979"/>
    <w:rsid w:val="00193272"/>
    <w:rsid w:val="00196912"/>
    <w:rsid w:val="00196A73"/>
    <w:rsid w:val="00197FC2"/>
    <w:rsid w:val="001A44CD"/>
    <w:rsid w:val="001A53C3"/>
    <w:rsid w:val="001A7799"/>
    <w:rsid w:val="001B1363"/>
    <w:rsid w:val="001B6689"/>
    <w:rsid w:val="001B6D4D"/>
    <w:rsid w:val="001C17B6"/>
    <w:rsid w:val="001C3E4B"/>
    <w:rsid w:val="001C7295"/>
    <w:rsid w:val="001D61C2"/>
    <w:rsid w:val="001D6B02"/>
    <w:rsid w:val="001E4065"/>
    <w:rsid w:val="001F31F2"/>
    <w:rsid w:val="001F3A24"/>
    <w:rsid w:val="001F6E8A"/>
    <w:rsid w:val="001F7C3C"/>
    <w:rsid w:val="002005AF"/>
    <w:rsid w:val="0020728A"/>
    <w:rsid w:val="00210CC2"/>
    <w:rsid w:val="00211872"/>
    <w:rsid w:val="00213FF2"/>
    <w:rsid w:val="00215D79"/>
    <w:rsid w:val="00216CA2"/>
    <w:rsid w:val="00221821"/>
    <w:rsid w:val="00221CFB"/>
    <w:rsid w:val="002227C7"/>
    <w:rsid w:val="00234951"/>
    <w:rsid w:val="00235E9F"/>
    <w:rsid w:val="00242BE2"/>
    <w:rsid w:val="002535FB"/>
    <w:rsid w:val="00261AB7"/>
    <w:rsid w:val="002622DA"/>
    <w:rsid w:val="002657E5"/>
    <w:rsid w:val="0026586E"/>
    <w:rsid w:val="00265E56"/>
    <w:rsid w:val="00266832"/>
    <w:rsid w:val="00270A88"/>
    <w:rsid w:val="00270BA1"/>
    <w:rsid w:val="00271775"/>
    <w:rsid w:val="00272D1D"/>
    <w:rsid w:val="002739B2"/>
    <w:rsid w:val="00280756"/>
    <w:rsid w:val="00280C34"/>
    <w:rsid w:val="00281263"/>
    <w:rsid w:val="00284AB3"/>
    <w:rsid w:val="002855A2"/>
    <w:rsid w:val="00286E75"/>
    <w:rsid w:val="00287B1E"/>
    <w:rsid w:val="002902E5"/>
    <w:rsid w:val="0029058E"/>
    <w:rsid w:val="00290F16"/>
    <w:rsid w:val="00291351"/>
    <w:rsid w:val="00291EF1"/>
    <w:rsid w:val="002955C7"/>
    <w:rsid w:val="002A1978"/>
    <w:rsid w:val="002A6109"/>
    <w:rsid w:val="002B2FD8"/>
    <w:rsid w:val="002B3323"/>
    <w:rsid w:val="002B599B"/>
    <w:rsid w:val="002C0A2F"/>
    <w:rsid w:val="002C35C9"/>
    <w:rsid w:val="002D1295"/>
    <w:rsid w:val="002E0620"/>
    <w:rsid w:val="002E4EFE"/>
    <w:rsid w:val="002E52AC"/>
    <w:rsid w:val="002F4DF0"/>
    <w:rsid w:val="002F6552"/>
    <w:rsid w:val="00302D00"/>
    <w:rsid w:val="00306891"/>
    <w:rsid w:val="00307B5C"/>
    <w:rsid w:val="00307C86"/>
    <w:rsid w:val="003149EC"/>
    <w:rsid w:val="003173F1"/>
    <w:rsid w:val="003243E1"/>
    <w:rsid w:val="00326D16"/>
    <w:rsid w:val="003321F6"/>
    <w:rsid w:val="00332267"/>
    <w:rsid w:val="003326DF"/>
    <w:rsid w:val="00342117"/>
    <w:rsid w:val="00355062"/>
    <w:rsid w:val="003563B0"/>
    <w:rsid w:val="00362FE7"/>
    <w:rsid w:val="0036630D"/>
    <w:rsid w:val="003676A9"/>
    <w:rsid w:val="0036785C"/>
    <w:rsid w:val="00370839"/>
    <w:rsid w:val="00372790"/>
    <w:rsid w:val="0037495A"/>
    <w:rsid w:val="003763BD"/>
    <w:rsid w:val="003921CE"/>
    <w:rsid w:val="00396118"/>
    <w:rsid w:val="00397C85"/>
    <w:rsid w:val="003A06C8"/>
    <w:rsid w:val="003A3462"/>
    <w:rsid w:val="003A390E"/>
    <w:rsid w:val="003A75A4"/>
    <w:rsid w:val="003A7D6E"/>
    <w:rsid w:val="003B1A0E"/>
    <w:rsid w:val="003B2794"/>
    <w:rsid w:val="003B2FBC"/>
    <w:rsid w:val="003B7CB3"/>
    <w:rsid w:val="003C1FF1"/>
    <w:rsid w:val="003C2CF1"/>
    <w:rsid w:val="003C457F"/>
    <w:rsid w:val="003C48CF"/>
    <w:rsid w:val="003C5DDC"/>
    <w:rsid w:val="003D04CE"/>
    <w:rsid w:val="003D3CAA"/>
    <w:rsid w:val="003D42CA"/>
    <w:rsid w:val="003D46EF"/>
    <w:rsid w:val="003E1815"/>
    <w:rsid w:val="003E3A7F"/>
    <w:rsid w:val="003E7AD0"/>
    <w:rsid w:val="003F1E13"/>
    <w:rsid w:val="003F54F3"/>
    <w:rsid w:val="003F5734"/>
    <w:rsid w:val="003F7384"/>
    <w:rsid w:val="003F7621"/>
    <w:rsid w:val="0040299F"/>
    <w:rsid w:val="00403F61"/>
    <w:rsid w:val="00405FEB"/>
    <w:rsid w:val="004061D2"/>
    <w:rsid w:val="0040792D"/>
    <w:rsid w:val="00407A56"/>
    <w:rsid w:val="004136AA"/>
    <w:rsid w:val="004140E6"/>
    <w:rsid w:val="0041426C"/>
    <w:rsid w:val="004161ED"/>
    <w:rsid w:val="00420BED"/>
    <w:rsid w:val="00422615"/>
    <w:rsid w:val="00424851"/>
    <w:rsid w:val="004350BC"/>
    <w:rsid w:val="004437A7"/>
    <w:rsid w:val="00447837"/>
    <w:rsid w:val="0045285A"/>
    <w:rsid w:val="00452D43"/>
    <w:rsid w:val="00452EAB"/>
    <w:rsid w:val="0045414D"/>
    <w:rsid w:val="00454372"/>
    <w:rsid w:val="00454CC1"/>
    <w:rsid w:val="004574E2"/>
    <w:rsid w:val="00457D5A"/>
    <w:rsid w:val="00464A14"/>
    <w:rsid w:val="00467FD1"/>
    <w:rsid w:val="00471268"/>
    <w:rsid w:val="00472949"/>
    <w:rsid w:val="004733B1"/>
    <w:rsid w:val="00481482"/>
    <w:rsid w:val="004847FA"/>
    <w:rsid w:val="00486E61"/>
    <w:rsid w:val="00487534"/>
    <w:rsid w:val="00492A6C"/>
    <w:rsid w:val="004949C6"/>
    <w:rsid w:val="00497E1E"/>
    <w:rsid w:val="004A497A"/>
    <w:rsid w:val="004A54C8"/>
    <w:rsid w:val="004A775B"/>
    <w:rsid w:val="004B0AD4"/>
    <w:rsid w:val="004B2360"/>
    <w:rsid w:val="004B24FE"/>
    <w:rsid w:val="004B30BC"/>
    <w:rsid w:val="004B3838"/>
    <w:rsid w:val="004B38C8"/>
    <w:rsid w:val="004B4AF5"/>
    <w:rsid w:val="004B7863"/>
    <w:rsid w:val="004C0DF3"/>
    <w:rsid w:val="004C26DF"/>
    <w:rsid w:val="004C35F8"/>
    <w:rsid w:val="004C36F5"/>
    <w:rsid w:val="004C750F"/>
    <w:rsid w:val="004D1283"/>
    <w:rsid w:val="004D1841"/>
    <w:rsid w:val="004D1F0E"/>
    <w:rsid w:val="004D5B74"/>
    <w:rsid w:val="004E50AB"/>
    <w:rsid w:val="004E60E7"/>
    <w:rsid w:val="004F21D0"/>
    <w:rsid w:val="004F2364"/>
    <w:rsid w:val="004F291B"/>
    <w:rsid w:val="004F348F"/>
    <w:rsid w:val="004F3DE4"/>
    <w:rsid w:val="004F4081"/>
    <w:rsid w:val="004F4C30"/>
    <w:rsid w:val="004F75E5"/>
    <w:rsid w:val="004F786A"/>
    <w:rsid w:val="00500F5C"/>
    <w:rsid w:val="0050198A"/>
    <w:rsid w:val="00502129"/>
    <w:rsid w:val="0050239A"/>
    <w:rsid w:val="00510E04"/>
    <w:rsid w:val="00511DC6"/>
    <w:rsid w:val="0051347D"/>
    <w:rsid w:val="005135DF"/>
    <w:rsid w:val="00517B10"/>
    <w:rsid w:val="00521ED4"/>
    <w:rsid w:val="00527316"/>
    <w:rsid w:val="00527B44"/>
    <w:rsid w:val="005309EC"/>
    <w:rsid w:val="00532C0B"/>
    <w:rsid w:val="005351BD"/>
    <w:rsid w:val="00536A6D"/>
    <w:rsid w:val="00536AC2"/>
    <w:rsid w:val="00537258"/>
    <w:rsid w:val="0054513E"/>
    <w:rsid w:val="00545255"/>
    <w:rsid w:val="00551C4F"/>
    <w:rsid w:val="0055422D"/>
    <w:rsid w:val="0055437F"/>
    <w:rsid w:val="005550AD"/>
    <w:rsid w:val="005564B9"/>
    <w:rsid w:val="0056394C"/>
    <w:rsid w:val="00563D10"/>
    <w:rsid w:val="00564108"/>
    <w:rsid w:val="0056498B"/>
    <w:rsid w:val="00566245"/>
    <w:rsid w:val="00567B1E"/>
    <w:rsid w:val="00570A9B"/>
    <w:rsid w:val="00571D3C"/>
    <w:rsid w:val="00573381"/>
    <w:rsid w:val="005737FE"/>
    <w:rsid w:val="00576D21"/>
    <w:rsid w:val="00577CD2"/>
    <w:rsid w:val="00583C41"/>
    <w:rsid w:val="00590DEF"/>
    <w:rsid w:val="00592556"/>
    <w:rsid w:val="005A143D"/>
    <w:rsid w:val="005A260D"/>
    <w:rsid w:val="005A4E13"/>
    <w:rsid w:val="005A556F"/>
    <w:rsid w:val="005B0468"/>
    <w:rsid w:val="005B1EC9"/>
    <w:rsid w:val="005B23E5"/>
    <w:rsid w:val="005B3831"/>
    <w:rsid w:val="005B59CA"/>
    <w:rsid w:val="005B6DD4"/>
    <w:rsid w:val="005B77D9"/>
    <w:rsid w:val="005C01C5"/>
    <w:rsid w:val="005C0400"/>
    <w:rsid w:val="005C153A"/>
    <w:rsid w:val="005C4492"/>
    <w:rsid w:val="005C4C5D"/>
    <w:rsid w:val="005C66FE"/>
    <w:rsid w:val="005C71FD"/>
    <w:rsid w:val="005D0811"/>
    <w:rsid w:val="005D2155"/>
    <w:rsid w:val="005D324A"/>
    <w:rsid w:val="005D3DFC"/>
    <w:rsid w:val="005D79F0"/>
    <w:rsid w:val="005E0CAE"/>
    <w:rsid w:val="005E12B1"/>
    <w:rsid w:val="005E2AE8"/>
    <w:rsid w:val="005E3A5C"/>
    <w:rsid w:val="005E67B3"/>
    <w:rsid w:val="005F28A6"/>
    <w:rsid w:val="005F2C6D"/>
    <w:rsid w:val="005F7A39"/>
    <w:rsid w:val="0060007B"/>
    <w:rsid w:val="00600DA2"/>
    <w:rsid w:val="00600EF9"/>
    <w:rsid w:val="0060286F"/>
    <w:rsid w:val="00603148"/>
    <w:rsid w:val="00604821"/>
    <w:rsid w:val="00616396"/>
    <w:rsid w:val="006211DC"/>
    <w:rsid w:val="00622AC4"/>
    <w:rsid w:val="00624451"/>
    <w:rsid w:val="0062503A"/>
    <w:rsid w:val="00635F9F"/>
    <w:rsid w:val="00636191"/>
    <w:rsid w:val="00636E49"/>
    <w:rsid w:val="006432C2"/>
    <w:rsid w:val="00643D94"/>
    <w:rsid w:val="006464DA"/>
    <w:rsid w:val="006563A9"/>
    <w:rsid w:val="006579F5"/>
    <w:rsid w:val="00657AA9"/>
    <w:rsid w:val="00670AAA"/>
    <w:rsid w:val="00670BCB"/>
    <w:rsid w:val="0067554E"/>
    <w:rsid w:val="00676376"/>
    <w:rsid w:val="0067744F"/>
    <w:rsid w:val="00681393"/>
    <w:rsid w:val="00682948"/>
    <w:rsid w:val="00683D29"/>
    <w:rsid w:val="00683EE0"/>
    <w:rsid w:val="006857BF"/>
    <w:rsid w:val="00686E59"/>
    <w:rsid w:val="0069157C"/>
    <w:rsid w:val="0069252E"/>
    <w:rsid w:val="00692B55"/>
    <w:rsid w:val="006964C2"/>
    <w:rsid w:val="006A00F1"/>
    <w:rsid w:val="006A1E95"/>
    <w:rsid w:val="006A1ED4"/>
    <w:rsid w:val="006A49BB"/>
    <w:rsid w:val="006A7F96"/>
    <w:rsid w:val="006B339D"/>
    <w:rsid w:val="006C3458"/>
    <w:rsid w:val="006C3F80"/>
    <w:rsid w:val="006D235B"/>
    <w:rsid w:val="006D2836"/>
    <w:rsid w:val="006D36B4"/>
    <w:rsid w:val="006D593F"/>
    <w:rsid w:val="006F5356"/>
    <w:rsid w:val="00703201"/>
    <w:rsid w:val="007077FA"/>
    <w:rsid w:val="007114A1"/>
    <w:rsid w:val="00716EEA"/>
    <w:rsid w:val="007213A8"/>
    <w:rsid w:val="00724364"/>
    <w:rsid w:val="00725D5C"/>
    <w:rsid w:val="00727FB1"/>
    <w:rsid w:val="00734764"/>
    <w:rsid w:val="007358D6"/>
    <w:rsid w:val="00735E1F"/>
    <w:rsid w:val="0073607B"/>
    <w:rsid w:val="007371DD"/>
    <w:rsid w:val="00740E75"/>
    <w:rsid w:val="007506AE"/>
    <w:rsid w:val="0075082D"/>
    <w:rsid w:val="007515A1"/>
    <w:rsid w:val="00755614"/>
    <w:rsid w:val="00755961"/>
    <w:rsid w:val="00760447"/>
    <w:rsid w:val="007660EA"/>
    <w:rsid w:val="00767EF5"/>
    <w:rsid w:val="00770034"/>
    <w:rsid w:val="00770156"/>
    <w:rsid w:val="00771EFD"/>
    <w:rsid w:val="00772817"/>
    <w:rsid w:val="00785302"/>
    <w:rsid w:val="00785587"/>
    <w:rsid w:val="00792867"/>
    <w:rsid w:val="0079730C"/>
    <w:rsid w:val="007A147F"/>
    <w:rsid w:val="007A1E5B"/>
    <w:rsid w:val="007B3D4A"/>
    <w:rsid w:val="007B4339"/>
    <w:rsid w:val="007C152B"/>
    <w:rsid w:val="007C31F9"/>
    <w:rsid w:val="007C4C40"/>
    <w:rsid w:val="007D02FA"/>
    <w:rsid w:val="007D76B8"/>
    <w:rsid w:val="007E55D1"/>
    <w:rsid w:val="007E6A36"/>
    <w:rsid w:val="007E72A9"/>
    <w:rsid w:val="007E7AE8"/>
    <w:rsid w:val="007E7BB6"/>
    <w:rsid w:val="007F11E4"/>
    <w:rsid w:val="007F2BCC"/>
    <w:rsid w:val="007F537E"/>
    <w:rsid w:val="007F7BE6"/>
    <w:rsid w:val="00800D18"/>
    <w:rsid w:val="0080164E"/>
    <w:rsid w:val="00801DED"/>
    <w:rsid w:val="008063C5"/>
    <w:rsid w:val="00820E02"/>
    <w:rsid w:val="0082731F"/>
    <w:rsid w:val="00832FF9"/>
    <w:rsid w:val="00835C96"/>
    <w:rsid w:val="00840A9D"/>
    <w:rsid w:val="00843268"/>
    <w:rsid w:val="00844D58"/>
    <w:rsid w:val="00845FFB"/>
    <w:rsid w:val="00846DF2"/>
    <w:rsid w:val="00847944"/>
    <w:rsid w:val="00850143"/>
    <w:rsid w:val="008533F6"/>
    <w:rsid w:val="00856B05"/>
    <w:rsid w:val="00857BDA"/>
    <w:rsid w:val="00860601"/>
    <w:rsid w:val="00861B07"/>
    <w:rsid w:val="00862714"/>
    <w:rsid w:val="00865A61"/>
    <w:rsid w:val="00870733"/>
    <w:rsid w:val="008732CE"/>
    <w:rsid w:val="00875640"/>
    <w:rsid w:val="00875E97"/>
    <w:rsid w:val="0088255F"/>
    <w:rsid w:val="00883D32"/>
    <w:rsid w:val="00887468"/>
    <w:rsid w:val="00891D90"/>
    <w:rsid w:val="008946C5"/>
    <w:rsid w:val="00896C9A"/>
    <w:rsid w:val="008A3B24"/>
    <w:rsid w:val="008A5A22"/>
    <w:rsid w:val="008A70B1"/>
    <w:rsid w:val="008B3AF1"/>
    <w:rsid w:val="008B4F5A"/>
    <w:rsid w:val="008B746F"/>
    <w:rsid w:val="008B7534"/>
    <w:rsid w:val="008C029F"/>
    <w:rsid w:val="008C09AE"/>
    <w:rsid w:val="008C152F"/>
    <w:rsid w:val="008D0B9F"/>
    <w:rsid w:val="008D118F"/>
    <w:rsid w:val="008D13BB"/>
    <w:rsid w:val="008D15EC"/>
    <w:rsid w:val="008D1E27"/>
    <w:rsid w:val="008D23F4"/>
    <w:rsid w:val="008D70CE"/>
    <w:rsid w:val="008E3963"/>
    <w:rsid w:val="008F28A3"/>
    <w:rsid w:val="008F5095"/>
    <w:rsid w:val="008F5DB0"/>
    <w:rsid w:val="008F7745"/>
    <w:rsid w:val="009038F0"/>
    <w:rsid w:val="0090512C"/>
    <w:rsid w:val="00910B75"/>
    <w:rsid w:val="0091204C"/>
    <w:rsid w:val="00913072"/>
    <w:rsid w:val="00913B24"/>
    <w:rsid w:val="00914DE4"/>
    <w:rsid w:val="00921CDE"/>
    <w:rsid w:val="0092443F"/>
    <w:rsid w:val="00937112"/>
    <w:rsid w:val="009371F2"/>
    <w:rsid w:val="00942829"/>
    <w:rsid w:val="00943686"/>
    <w:rsid w:val="00951B41"/>
    <w:rsid w:val="00952FB0"/>
    <w:rsid w:val="009545CD"/>
    <w:rsid w:val="0096201E"/>
    <w:rsid w:val="00962BA4"/>
    <w:rsid w:val="00964455"/>
    <w:rsid w:val="00965D0F"/>
    <w:rsid w:val="0096784D"/>
    <w:rsid w:val="00971257"/>
    <w:rsid w:val="00971759"/>
    <w:rsid w:val="00971FB6"/>
    <w:rsid w:val="0097702C"/>
    <w:rsid w:val="00980E22"/>
    <w:rsid w:val="00981030"/>
    <w:rsid w:val="0098464D"/>
    <w:rsid w:val="00991869"/>
    <w:rsid w:val="009969F5"/>
    <w:rsid w:val="009A49D7"/>
    <w:rsid w:val="009A5134"/>
    <w:rsid w:val="009B24ED"/>
    <w:rsid w:val="009C457A"/>
    <w:rsid w:val="009C559C"/>
    <w:rsid w:val="009C646B"/>
    <w:rsid w:val="009C7BE6"/>
    <w:rsid w:val="009D6B08"/>
    <w:rsid w:val="009E6448"/>
    <w:rsid w:val="009F1178"/>
    <w:rsid w:val="009F2C51"/>
    <w:rsid w:val="009F2CC1"/>
    <w:rsid w:val="009F684C"/>
    <w:rsid w:val="00A12DEF"/>
    <w:rsid w:val="00A138A9"/>
    <w:rsid w:val="00A15B02"/>
    <w:rsid w:val="00A16204"/>
    <w:rsid w:val="00A17810"/>
    <w:rsid w:val="00A21009"/>
    <w:rsid w:val="00A31C2C"/>
    <w:rsid w:val="00A36376"/>
    <w:rsid w:val="00A36984"/>
    <w:rsid w:val="00A36ED5"/>
    <w:rsid w:val="00A420D8"/>
    <w:rsid w:val="00A45D67"/>
    <w:rsid w:val="00A45F97"/>
    <w:rsid w:val="00A46BAD"/>
    <w:rsid w:val="00A527EA"/>
    <w:rsid w:val="00A536B5"/>
    <w:rsid w:val="00A56C57"/>
    <w:rsid w:val="00A603F6"/>
    <w:rsid w:val="00A615A3"/>
    <w:rsid w:val="00A63099"/>
    <w:rsid w:val="00A63193"/>
    <w:rsid w:val="00A67210"/>
    <w:rsid w:val="00A70A2B"/>
    <w:rsid w:val="00A710C5"/>
    <w:rsid w:val="00A74F59"/>
    <w:rsid w:val="00A80743"/>
    <w:rsid w:val="00A80CFA"/>
    <w:rsid w:val="00A81C3D"/>
    <w:rsid w:val="00A84645"/>
    <w:rsid w:val="00A85130"/>
    <w:rsid w:val="00A90C68"/>
    <w:rsid w:val="00A929DF"/>
    <w:rsid w:val="00A96E7B"/>
    <w:rsid w:val="00AA3BBB"/>
    <w:rsid w:val="00AA5664"/>
    <w:rsid w:val="00AA65FD"/>
    <w:rsid w:val="00AB38F5"/>
    <w:rsid w:val="00AB42E3"/>
    <w:rsid w:val="00AB5C57"/>
    <w:rsid w:val="00AC30C4"/>
    <w:rsid w:val="00AC3F52"/>
    <w:rsid w:val="00AC57E6"/>
    <w:rsid w:val="00AC5CF1"/>
    <w:rsid w:val="00AC7522"/>
    <w:rsid w:val="00AD0430"/>
    <w:rsid w:val="00AD043A"/>
    <w:rsid w:val="00AD1C5E"/>
    <w:rsid w:val="00AD24B2"/>
    <w:rsid w:val="00AD266C"/>
    <w:rsid w:val="00AE03CC"/>
    <w:rsid w:val="00AE2E85"/>
    <w:rsid w:val="00AE54BA"/>
    <w:rsid w:val="00AF2B5B"/>
    <w:rsid w:val="00AF5EEF"/>
    <w:rsid w:val="00AF6884"/>
    <w:rsid w:val="00B0025F"/>
    <w:rsid w:val="00B018CF"/>
    <w:rsid w:val="00B022DA"/>
    <w:rsid w:val="00B04709"/>
    <w:rsid w:val="00B068FA"/>
    <w:rsid w:val="00B06A6A"/>
    <w:rsid w:val="00B11A72"/>
    <w:rsid w:val="00B1214F"/>
    <w:rsid w:val="00B1710C"/>
    <w:rsid w:val="00B27EB5"/>
    <w:rsid w:val="00B27FA8"/>
    <w:rsid w:val="00B32A31"/>
    <w:rsid w:val="00B341A9"/>
    <w:rsid w:val="00B3454B"/>
    <w:rsid w:val="00B36069"/>
    <w:rsid w:val="00B41454"/>
    <w:rsid w:val="00B430B0"/>
    <w:rsid w:val="00B4603C"/>
    <w:rsid w:val="00B56EEE"/>
    <w:rsid w:val="00B60278"/>
    <w:rsid w:val="00B6410F"/>
    <w:rsid w:val="00B74471"/>
    <w:rsid w:val="00B76B27"/>
    <w:rsid w:val="00B774DB"/>
    <w:rsid w:val="00B82D46"/>
    <w:rsid w:val="00B877F1"/>
    <w:rsid w:val="00B90374"/>
    <w:rsid w:val="00B96ACE"/>
    <w:rsid w:val="00BA3479"/>
    <w:rsid w:val="00BB1349"/>
    <w:rsid w:val="00BB5A9A"/>
    <w:rsid w:val="00BB716C"/>
    <w:rsid w:val="00BC1D93"/>
    <w:rsid w:val="00BC5276"/>
    <w:rsid w:val="00BC64A5"/>
    <w:rsid w:val="00BC7983"/>
    <w:rsid w:val="00BD3CBD"/>
    <w:rsid w:val="00BD5A34"/>
    <w:rsid w:val="00BE128B"/>
    <w:rsid w:val="00BE70B5"/>
    <w:rsid w:val="00BF0FB1"/>
    <w:rsid w:val="00BF211D"/>
    <w:rsid w:val="00BF396A"/>
    <w:rsid w:val="00BF3AC2"/>
    <w:rsid w:val="00BF6960"/>
    <w:rsid w:val="00BF7CD4"/>
    <w:rsid w:val="00C00E70"/>
    <w:rsid w:val="00C02BBB"/>
    <w:rsid w:val="00C047CD"/>
    <w:rsid w:val="00C07237"/>
    <w:rsid w:val="00C10EF7"/>
    <w:rsid w:val="00C1114F"/>
    <w:rsid w:val="00C12C4F"/>
    <w:rsid w:val="00C12D90"/>
    <w:rsid w:val="00C16C64"/>
    <w:rsid w:val="00C20693"/>
    <w:rsid w:val="00C27AA7"/>
    <w:rsid w:val="00C33B5D"/>
    <w:rsid w:val="00C37AC2"/>
    <w:rsid w:val="00C40982"/>
    <w:rsid w:val="00C4726E"/>
    <w:rsid w:val="00C51015"/>
    <w:rsid w:val="00C528E3"/>
    <w:rsid w:val="00C63DBB"/>
    <w:rsid w:val="00C65A38"/>
    <w:rsid w:val="00C66B53"/>
    <w:rsid w:val="00C66DC3"/>
    <w:rsid w:val="00C75A1E"/>
    <w:rsid w:val="00C76ABF"/>
    <w:rsid w:val="00C803E3"/>
    <w:rsid w:val="00C807AA"/>
    <w:rsid w:val="00C84D63"/>
    <w:rsid w:val="00C86839"/>
    <w:rsid w:val="00C87B74"/>
    <w:rsid w:val="00C93E80"/>
    <w:rsid w:val="00C97005"/>
    <w:rsid w:val="00CA0FDC"/>
    <w:rsid w:val="00CA19E4"/>
    <w:rsid w:val="00CA4E7F"/>
    <w:rsid w:val="00CA707A"/>
    <w:rsid w:val="00CB1C0E"/>
    <w:rsid w:val="00CB282C"/>
    <w:rsid w:val="00CB355C"/>
    <w:rsid w:val="00CB3BD4"/>
    <w:rsid w:val="00CB4FE4"/>
    <w:rsid w:val="00CB505F"/>
    <w:rsid w:val="00CB544F"/>
    <w:rsid w:val="00CC5EEE"/>
    <w:rsid w:val="00CC6A5D"/>
    <w:rsid w:val="00CD303F"/>
    <w:rsid w:val="00CD5B2B"/>
    <w:rsid w:val="00CD7997"/>
    <w:rsid w:val="00CE0AF2"/>
    <w:rsid w:val="00CE239E"/>
    <w:rsid w:val="00CE5627"/>
    <w:rsid w:val="00CE5BBA"/>
    <w:rsid w:val="00CE6252"/>
    <w:rsid w:val="00CF11D0"/>
    <w:rsid w:val="00CF175F"/>
    <w:rsid w:val="00CF2F7C"/>
    <w:rsid w:val="00CF348C"/>
    <w:rsid w:val="00CF3C22"/>
    <w:rsid w:val="00CF5325"/>
    <w:rsid w:val="00D00F2E"/>
    <w:rsid w:val="00D01569"/>
    <w:rsid w:val="00D03454"/>
    <w:rsid w:val="00D047AC"/>
    <w:rsid w:val="00D053E7"/>
    <w:rsid w:val="00D139A0"/>
    <w:rsid w:val="00D13EF1"/>
    <w:rsid w:val="00D20004"/>
    <w:rsid w:val="00D22D1F"/>
    <w:rsid w:val="00D255DC"/>
    <w:rsid w:val="00D317C1"/>
    <w:rsid w:val="00D31F71"/>
    <w:rsid w:val="00D34A82"/>
    <w:rsid w:val="00D360C6"/>
    <w:rsid w:val="00D407A6"/>
    <w:rsid w:val="00D40E7E"/>
    <w:rsid w:val="00D43771"/>
    <w:rsid w:val="00D4401C"/>
    <w:rsid w:val="00D46683"/>
    <w:rsid w:val="00D5558D"/>
    <w:rsid w:val="00D574BA"/>
    <w:rsid w:val="00D63BEB"/>
    <w:rsid w:val="00D64646"/>
    <w:rsid w:val="00D6652C"/>
    <w:rsid w:val="00D672BE"/>
    <w:rsid w:val="00D73BE5"/>
    <w:rsid w:val="00D74AD0"/>
    <w:rsid w:val="00D80140"/>
    <w:rsid w:val="00D80306"/>
    <w:rsid w:val="00D81A28"/>
    <w:rsid w:val="00D82E37"/>
    <w:rsid w:val="00D832C0"/>
    <w:rsid w:val="00D8333D"/>
    <w:rsid w:val="00D924E8"/>
    <w:rsid w:val="00D92B40"/>
    <w:rsid w:val="00DA1BD1"/>
    <w:rsid w:val="00DA62B5"/>
    <w:rsid w:val="00DA77D4"/>
    <w:rsid w:val="00DB42CF"/>
    <w:rsid w:val="00DB6AAC"/>
    <w:rsid w:val="00DB6C83"/>
    <w:rsid w:val="00DC153F"/>
    <w:rsid w:val="00DC385C"/>
    <w:rsid w:val="00DC3CD5"/>
    <w:rsid w:val="00DC4CBB"/>
    <w:rsid w:val="00DD29DB"/>
    <w:rsid w:val="00DE1ABE"/>
    <w:rsid w:val="00DE36B8"/>
    <w:rsid w:val="00DE605E"/>
    <w:rsid w:val="00DF1C02"/>
    <w:rsid w:val="00DF3ED1"/>
    <w:rsid w:val="00E048DD"/>
    <w:rsid w:val="00E04984"/>
    <w:rsid w:val="00E158AF"/>
    <w:rsid w:val="00E16C39"/>
    <w:rsid w:val="00E16E7D"/>
    <w:rsid w:val="00E20760"/>
    <w:rsid w:val="00E21175"/>
    <w:rsid w:val="00E22EEA"/>
    <w:rsid w:val="00E23859"/>
    <w:rsid w:val="00E2767E"/>
    <w:rsid w:val="00E27BAC"/>
    <w:rsid w:val="00E41960"/>
    <w:rsid w:val="00E43A48"/>
    <w:rsid w:val="00E51EB5"/>
    <w:rsid w:val="00E57303"/>
    <w:rsid w:val="00E62202"/>
    <w:rsid w:val="00E64386"/>
    <w:rsid w:val="00E751BC"/>
    <w:rsid w:val="00E774A5"/>
    <w:rsid w:val="00E81EBE"/>
    <w:rsid w:val="00E81FE4"/>
    <w:rsid w:val="00E83999"/>
    <w:rsid w:val="00E84116"/>
    <w:rsid w:val="00E844C2"/>
    <w:rsid w:val="00E90244"/>
    <w:rsid w:val="00E92B52"/>
    <w:rsid w:val="00EA4449"/>
    <w:rsid w:val="00EB03A6"/>
    <w:rsid w:val="00EB63F5"/>
    <w:rsid w:val="00EC0719"/>
    <w:rsid w:val="00EC1799"/>
    <w:rsid w:val="00EC2C3F"/>
    <w:rsid w:val="00EC5F19"/>
    <w:rsid w:val="00EC64FA"/>
    <w:rsid w:val="00EC701A"/>
    <w:rsid w:val="00ED4230"/>
    <w:rsid w:val="00EE02BC"/>
    <w:rsid w:val="00EE6DF8"/>
    <w:rsid w:val="00EF5B13"/>
    <w:rsid w:val="00EF5C61"/>
    <w:rsid w:val="00EF7209"/>
    <w:rsid w:val="00F01396"/>
    <w:rsid w:val="00F01A24"/>
    <w:rsid w:val="00F0253A"/>
    <w:rsid w:val="00F02F56"/>
    <w:rsid w:val="00F02F9B"/>
    <w:rsid w:val="00F0336D"/>
    <w:rsid w:val="00F034CD"/>
    <w:rsid w:val="00F036FF"/>
    <w:rsid w:val="00F0440F"/>
    <w:rsid w:val="00F04870"/>
    <w:rsid w:val="00F102AF"/>
    <w:rsid w:val="00F10D51"/>
    <w:rsid w:val="00F11574"/>
    <w:rsid w:val="00F12A5C"/>
    <w:rsid w:val="00F15AA0"/>
    <w:rsid w:val="00F17B5E"/>
    <w:rsid w:val="00F20DCA"/>
    <w:rsid w:val="00F305D1"/>
    <w:rsid w:val="00F315B8"/>
    <w:rsid w:val="00F333DC"/>
    <w:rsid w:val="00F37191"/>
    <w:rsid w:val="00F4167D"/>
    <w:rsid w:val="00F42269"/>
    <w:rsid w:val="00F42810"/>
    <w:rsid w:val="00F53CCD"/>
    <w:rsid w:val="00F56549"/>
    <w:rsid w:val="00F65846"/>
    <w:rsid w:val="00F66CB8"/>
    <w:rsid w:val="00F67AD5"/>
    <w:rsid w:val="00F72C1E"/>
    <w:rsid w:val="00F754E9"/>
    <w:rsid w:val="00F80CE0"/>
    <w:rsid w:val="00F81B48"/>
    <w:rsid w:val="00F82FFC"/>
    <w:rsid w:val="00F831CD"/>
    <w:rsid w:val="00F911BB"/>
    <w:rsid w:val="00F9465E"/>
    <w:rsid w:val="00F9517A"/>
    <w:rsid w:val="00FA34A5"/>
    <w:rsid w:val="00FA7A03"/>
    <w:rsid w:val="00FA7A3C"/>
    <w:rsid w:val="00FB320E"/>
    <w:rsid w:val="00FB32A1"/>
    <w:rsid w:val="00FB33F2"/>
    <w:rsid w:val="00FC083A"/>
    <w:rsid w:val="00FC6693"/>
    <w:rsid w:val="00FC6FB9"/>
    <w:rsid w:val="00FD1263"/>
    <w:rsid w:val="00FD3871"/>
    <w:rsid w:val="00FD73C8"/>
    <w:rsid w:val="00FE3DD0"/>
    <w:rsid w:val="00FE4B98"/>
    <w:rsid w:val="00FE516D"/>
    <w:rsid w:val="00FE79B4"/>
    <w:rsid w:val="00FF05B7"/>
    <w:rsid w:val="00FF0981"/>
    <w:rsid w:val="00FF2D77"/>
    <w:rsid w:val="00FF2E9A"/>
    <w:rsid w:val="00FF363D"/>
    <w:rsid w:val="00FF3701"/>
    <w:rsid w:val="00FF6A17"/>
    <w:rsid w:val="00FF7954"/>
    <w:rsid w:val="011745C0"/>
    <w:rsid w:val="015169F5"/>
    <w:rsid w:val="01BC50C3"/>
    <w:rsid w:val="0347B580"/>
    <w:rsid w:val="03E0790B"/>
    <w:rsid w:val="04631920"/>
    <w:rsid w:val="0591F90C"/>
    <w:rsid w:val="061522A5"/>
    <w:rsid w:val="0673E349"/>
    <w:rsid w:val="06967F8A"/>
    <w:rsid w:val="06E45F23"/>
    <w:rsid w:val="08324FEB"/>
    <w:rsid w:val="08ACC85F"/>
    <w:rsid w:val="08B8AB2E"/>
    <w:rsid w:val="091A825F"/>
    <w:rsid w:val="0A4898C0"/>
    <w:rsid w:val="0A577C8E"/>
    <w:rsid w:val="0AB5998C"/>
    <w:rsid w:val="0AFA8A86"/>
    <w:rsid w:val="0B05B11A"/>
    <w:rsid w:val="0B7EE598"/>
    <w:rsid w:val="0B80E830"/>
    <w:rsid w:val="0BFDA4AC"/>
    <w:rsid w:val="0C315372"/>
    <w:rsid w:val="0CFDCEB8"/>
    <w:rsid w:val="0D393B2B"/>
    <w:rsid w:val="0D64F8ED"/>
    <w:rsid w:val="0D7939E6"/>
    <w:rsid w:val="0E346CAE"/>
    <w:rsid w:val="0E4E400A"/>
    <w:rsid w:val="0EFC3CEE"/>
    <w:rsid w:val="0F6844A7"/>
    <w:rsid w:val="0FBC461A"/>
    <w:rsid w:val="0FE1D911"/>
    <w:rsid w:val="0FEFE113"/>
    <w:rsid w:val="1016EEA5"/>
    <w:rsid w:val="11231D15"/>
    <w:rsid w:val="11370901"/>
    <w:rsid w:val="114FAA58"/>
    <w:rsid w:val="12E674A1"/>
    <w:rsid w:val="13082DB5"/>
    <w:rsid w:val="13476D98"/>
    <w:rsid w:val="139739DE"/>
    <w:rsid w:val="13C4131D"/>
    <w:rsid w:val="14261EEF"/>
    <w:rsid w:val="14312ACD"/>
    <w:rsid w:val="14380B6A"/>
    <w:rsid w:val="14EA5FC8"/>
    <w:rsid w:val="151DF664"/>
    <w:rsid w:val="155BDAA3"/>
    <w:rsid w:val="16A795C4"/>
    <w:rsid w:val="16D8DFBE"/>
    <w:rsid w:val="179D9F64"/>
    <w:rsid w:val="17F9D2DC"/>
    <w:rsid w:val="186AAB01"/>
    <w:rsid w:val="18AEB605"/>
    <w:rsid w:val="18C9404D"/>
    <w:rsid w:val="195038D3"/>
    <w:rsid w:val="19717BF6"/>
    <w:rsid w:val="19C653B5"/>
    <w:rsid w:val="1C1337E6"/>
    <w:rsid w:val="1C6BBDEA"/>
    <w:rsid w:val="1CE0C0D9"/>
    <w:rsid w:val="1D16D748"/>
    <w:rsid w:val="1D52ED68"/>
    <w:rsid w:val="1DC00AF3"/>
    <w:rsid w:val="1E225884"/>
    <w:rsid w:val="1E876394"/>
    <w:rsid w:val="1EFF2EB6"/>
    <w:rsid w:val="1FA9ABCF"/>
    <w:rsid w:val="206D0D50"/>
    <w:rsid w:val="2089677B"/>
    <w:rsid w:val="20899CC2"/>
    <w:rsid w:val="208E445A"/>
    <w:rsid w:val="211FADBC"/>
    <w:rsid w:val="2437C186"/>
    <w:rsid w:val="2496610C"/>
    <w:rsid w:val="254C88CF"/>
    <w:rsid w:val="2729D3E1"/>
    <w:rsid w:val="274E089A"/>
    <w:rsid w:val="27860628"/>
    <w:rsid w:val="27B06FE9"/>
    <w:rsid w:val="27B52F27"/>
    <w:rsid w:val="27BFDC05"/>
    <w:rsid w:val="27D0DBD1"/>
    <w:rsid w:val="2973C775"/>
    <w:rsid w:val="2A436B52"/>
    <w:rsid w:val="2AEC3871"/>
    <w:rsid w:val="2BA40C8D"/>
    <w:rsid w:val="2BAC8927"/>
    <w:rsid w:val="2BDDC3B3"/>
    <w:rsid w:val="2C0AC135"/>
    <w:rsid w:val="2C3AB40F"/>
    <w:rsid w:val="2C560B77"/>
    <w:rsid w:val="2C7CB5A6"/>
    <w:rsid w:val="2CAFBD5D"/>
    <w:rsid w:val="2D730DC6"/>
    <w:rsid w:val="2DEAFE3C"/>
    <w:rsid w:val="2E40EFD8"/>
    <w:rsid w:val="2EC75B9A"/>
    <w:rsid w:val="2EFF0B41"/>
    <w:rsid w:val="2F2CC66A"/>
    <w:rsid w:val="2F792CE1"/>
    <w:rsid w:val="2FBE6EFD"/>
    <w:rsid w:val="31240B37"/>
    <w:rsid w:val="312EA2E3"/>
    <w:rsid w:val="314F284B"/>
    <w:rsid w:val="31C46DA0"/>
    <w:rsid w:val="33257CE7"/>
    <w:rsid w:val="3341F71A"/>
    <w:rsid w:val="33E358B3"/>
    <w:rsid w:val="346DD92F"/>
    <w:rsid w:val="3476D72C"/>
    <w:rsid w:val="353FD661"/>
    <w:rsid w:val="35B56779"/>
    <w:rsid w:val="36340975"/>
    <w:rsid w:val="375C8DB1"/>
    <w:rsid w:val="38FEF36A"/>
    <w:rsid w:val="3908DD8A"/>
    <w:rsid w:val="39114A8C"/>
    <w:rsid w:val="395725D0"/>
    <w:rsid w:val="395864CE"/>
    <w:rsid w:val="3970C2E2"/>
    <w:rsid w:val="39E48F14"/>
    <w:rsid w:val="3A417F70"/>
    <w:rsid w:val="3AFF16B9"/>
    <w:rsid w:val="3B68D07A"/>
    <w:rsid w:val="3B6F1345"/>
    <w:rsid w:val="3BBE65F8"/>
    <w:rsid w:val="3D3EF1F3"/>
    <w:rsid w:val="3D7DDBF7"/>
    <w:rsid w:val="3DE33C69"/>
    <w:rsid w:val="3DFAE33A"/>
    <w:rsid w:val="3E68C0D5"/>
    <w:rsid w:val="3ECDB466"/>
    <w:rsid w:val="3F77DA0C"/>
    <w:rsid w:val="3FB7098A"/>
    <w:rsid w:val="3FD3A85A"/>
    <w:rsid w:val="4182EE38"/>
    <w:rsid w:val="41A28AAE"/>
    <w:rsid w:val="423335FD"/>
    <w:rsid w:val="4263A069"/>
    <w:rsid w:val="42B8734D"/>
    <w:rsid w:val="44974F4B"/>
    <w:rsid w:val="450E4C2F"/>
    <w:rsid w:val="451B16A0"/>
    <w:rsid w:val="45FFBFA3"/>
    <w:rsid w:val="466B0347"/>
    <w:rsid w:val="4671249C"/>
    <w:rsid w:val="4690BCE2"/>
    <w:rsid w:val="46D4A556"/>
    <w:rsid w:val="46DA1AEA"/>
    <w:rsid w:val="4789D78D"/>
    <w:rsid w:val="47D0AB66"/>
    <w:rsid w:val="4805E36E"/>
    <w:rsid w:val="4810D013"/>
    <w:rsid w:val="4829E67B"/>
    <w:rsid w:val="4882E961"/>
    <w:rsid w:val="48CC9972"/>
    <w:rsid w:val="49B2CFBB"/>
    <w:rsid w:val="4AC27A39"/>
    <w:rsid w:val="4B2AA493"/>
    <w:rsid w:val="4BD38444"/>
    <w:rsid w:val="4D6DFC43"/>
    <w:rsid w:val="4DA72391"/>
    <w:rsid w:val="4ED951AE"/>
    <w:rsid w:val="4F8AB0B9"/>
    <w:rsid w:val="50604DEE"/>
    <w:rsid w:val="50749CB3"/>
    <w:rsid w:val="50CC3834"/>
    <w:rsid w:val="52AC0CC4"/>
    <w:rsid w:val="54C43BA9"/>
    <w:rsid w:val="54E733BF"/>
    <w:rsid w:val="56052CE0"/>
    <w:rsid w:val="56327C6D"/>
    <w:rsid w:val="56863469"/>
    <w:rsid w:val="580938F4"/>
    <w:rsid w:val="582CE82A"/>
    <w:rsid w:val="5840AE1A"/>
    <w:rsid w:val="58D9EC9D"/>
    <w:rsid w:val="5923A545"/>
    <w:rsid w:val="596D5B9C"/>
    <w:rsid w:val="5A382FA0"/>
    <w:rsid w:val="5A618C01"/>
    <w:rsid w:val="5A6B4900"/>
    <w:rsid w:val="5AFB4B4F"/>
    <w:rsid w:val="5B7D985B"/>
    <w:rsid w:val="5B984833"/>
    <w:rsid w:val="5C812288"/>
    <w:rsid w:val="5CBD91FF"/>
    <w:rsid w:val="5D02ADCE"/>
    <w:rsid w:val="5DF71668"/>
    <w:rsid w:val="5F14CB5C"/>
    <w:rsid w:val="60626608"/>
    <w:rsid w:val="609D8F8D"/>
    <w:rsid w:val="60C85983"/>
    <w:rsid w:val="61110318"/>
    <w:rsid w:val="61D61EF1"/>
    <w:rsid w:val="61D90EA2"/>
    <w:rsid w:val="621DD6B4"/>
    <w:rsid w:val="64125538"/>
    <w:rsid w:val="64414D81"/>
    <w:rsid w:val="64B1D4AB"/>
    <w:rsid w:val="651B4519"/>
    <w:rsid w:val="65669526"/>
    <w:rsid w:val="65ADA370"/>
    <w:rsid w:val="65CA62C1"/>
    <w:rsid w:val="668E8101"/>
    <w:rsid w:val="66F1DC75"/>
    <w:rsid w:val="671E72AA"/>
    <w:rsid w:val="6721B6E0"/>
    <w:rsid w:val="678C8511"/>
    <w:rsid w:val="67B39B12"/>
    <w:rsid w:val="68C5B7C5"/>
    <w:rsid w:val="68DF3D6A"/>
    <w:rsid w:val="68F9E5FB"/>
    <w:rsid w:val="691E887A"/>
    <w:rsid w:val="69E33AA9"/>
    <w:rsid w:val="6A089BE7"/>
    <w:rsid w:val="6AC48A26"/>
    <w:rsid w:val="6C0B0C2A"/>
    <w:rsid w:val="6CE181B1"/>
    <w:rsid w:val="6D2FE966"/>
    <w:rsid w:val="6D8AFDAD"/>
    <w:rsid w:val="6E3A37B4"/>
    <w:rsid w:val="6E825082"/>
    <w:rsid w:val="6EB522C0"/>
    <w:rsid w:val="707F8D57"/>
    <w:rsid w:val="70B321EA"/>
    <w:rsid w:val="71E59A26"/>
    <w:rsid w:val="7353DBAC"/>
    <w:rsid w:val="738E4274"/>
    <w:rsid w:val="74DC9DD8"/>
    <w:rsid w:val="74EFAC0D"/>
    <w:rsid w:val="751A39E9"/>
    <w:rsid w:val="753AA1C7"/>
    <w:rsid w:val="758C2E5A"/>
    <w:rsid w:val="75C4D04C"/>
    <w:rsid w:val="768B7C6E"/>
    <w:rsid w:val="776B9226"/>
    <w:rsid w:val="7775498C"/>
    <w:rsid w:val="7791C277"/>
    <w:rsid w:val="77FE4442"/>
    <w:rsid w:val="78199064"/>
    <w:rsid w:val="787E40B5"/>
    <w:rsid w:val="789EF6E8"/>
    <w:rsid w:val="78A01878"/>
    <w:rsid w:val="79057F25"/>
    <w:rsid w:val="7919A7E2"/>
    <w:rsid w:val="79B2D182"/>
    <w:rsid w:val="7A4960FE"/>
    <w:rsid w:val="7A52BF21"/>
    <w:rsid w:val="7A73DA94"/>
    <w:rsid w:val="7AF37EC6"/>
    <w:rsid w:val="7B1678E8"/>
    <w:rsid w:val="7B358B67"/>
    <w:rsid w:val="7B5EED91"/>
    <w:rsid w:val="7B6B1073"/>
    <w:rsid w:val="7EAB45ED"/>
    <w:rsid w:val="7EF77456"/>
    <w:rsid w:val="7FA76E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32E5"/>
  <w15:chartTrackingRefBased/>
  <w15:docId w15:val="{BE23EA79-DC91-43F9-9205-4C07E9D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4E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730C"/>
    <w:rPr>
      <w:b/>
      <w:bCs/>
    </w:rPr>
  </w:style>
  <w:style w:type="character" w:customStyle="1" w:styleId="Heading1Char">
    <w:name w:val="Heading 1 Char"/>
    <w:basedOn w:val="DefaultParagraphFont"/>
    <w:link w:val="Heading1"/>
    <w:uiPriority w:val="9"/>
    <w:rsid w:val="000F45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5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4FE4"/>
    <w:pPr>
      <w:ind w:left="720"/>
      <w:contextualSpacing/>
    </w:pPr>
  </w:style>
  <w:style w:type="character" w:customStyle="1" w:styleId="Heading3Char">
    <w:name w:val="Heading 3 Char"/>
    <w:basedOn w:val="DefaultParagraphFont"/>
    <w:link w:val="Heading3"/>
    <w:uiPriority w:val="9"/>
    <w:rsid w:val="00A96E7B"/>
    <w:rPr>
      <w:rFonts w:asciiTheme="majorHAnsi" w:eastAsiaTheme="majorEastAsia" w:hAnsiTheme="majorHAnsi" w:cstheme="majorBidi"/>
      <w:color w:val="1F3763" w:themeColor="accent1" w:themeShade="7F"/>
      <w:sz w:val="24"/>
      <w:szCs w:val="24"/>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0BCB"/>
    <w:rPr>
      <w:b/>
      <w:bCs/>
    </w:rPr>
  </w:style>
  <w:style w:type="character" w:customStyle="1" w:styleId="CommentSubjectChar">
    <w:name w:val="Comment Subject Char"/>
    <w:basedOn w:val="CommentTextChar"/>
    <w:link w:val="CommentSubject"/>
    <w:uiPriority w:val="99"/>
    <w:semiHidden/>
    <w:rsid w:val="00670BCB"/>
    <w:rPr>
      <w:b/>
      <w:bCs/>
      <w:sz w:val="20"/>
      <w:szCs w:val="20"/>
    </w:rPr>
  </w:style>
  <w:style w:type="paragraph" w:styleId="FootnoteText">
    <w:name w:val="footnote text"/>
    <w:basedOn w:val="Normal"/>
    <w:link w:val="FootnoteTextChar"/>
    <w:uiPriority w:val="99"/>
    <w:semiHidden/>
    <w:unhideWhenUsed/>
    <w:rsid w:val="00670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BCB"/>
    <w:rPr>
      <w:sz w:val="20"/>
      <w:szCs w:val="20"/>
    </w:rPr>
  </w:style>
  <w:style w:type="character" w:styleId="FootnoteReference">
    <w:name w:val="footnote reference"/>
    <w:basedOn w:val="DefaultParagraphFont"/>
    <w:uiPriority w:val="99"/>
    <w:semiHidden/>
    <w:unhideWhenUsed/>
    <w:rsid w:val="00670BCB"/>
    <w:rPr>
      <w:vertAlign w:val="superscript"/>
    </w:rPr>
  </w:style>
  <w:style w:type="character" w:styleId="UnresolvedMention">
    <w:name w:val="Unresolved Mention"/>
    <w:basedOn w:val="DefaultParagraphFont"/>
    <w:uiPriority w:val="99"/>
    <w:semiHidden/>
    <w:unhideWhenUsed/>
    <w:rsid w:val="00670BCB"/>
    <w:rPr>
      <w:color w:val="605E5C"/>
      <w:shd w:val="clear" w:color="auto" w:fill="E1DFDD"/>
    </w:rPr>
  </w:style>
  <w:style w:type="character" w:styleId="FollowedHyperlink">
    <w:name w:val="FollowedHyperlink"/>
    <w:basedOn w:val="DefaultParagraphFont"/>
    <w:uiPriority w:val="99"/>
    <w:semiHidden/>
    <w:unhideWhenUsed/>
    <w:rsid w:val="00BF6960"/>
    <w:rPr>
      <w:color w:val="954F72" w:themeColor="followedHyperlink"/>
      <w:u w:val="single"/>
    </w:rPr>
  </w:style>
  <w:style w:type="character" w:customStyle="1" w:styleId="Heading4Char">
    <w:name w:val="Heading 4 Char"/>
    <w:basedOn w:val="DefaultParagraphFont"/>
    <w:link w:val="Heading4"/>
    <w:uiPriority w:val="9"/>
    <w:rsid w:val="000B4E6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65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86E"/>
  </w:style>
  <w:style w:type="paragraph" w:styleId="Footer">
    <w:name w:val="footer"/>
    <w:basedOn w:val="Normal"/>
    <w:link w:val="FooterChar"/>
    <w:uiPriority w:val="99"/>
    <w:unhideWhenUsed/>
    <w:rsid w:val="00265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86E"/>
  </w:style>
  <w:style w:type="table" w:styleId="TableGridLight">
    <w:name w:val="Grid Table Light"/>
    <w:basedOn w:val="TableNormal"/>
    <w:uiPriority w:val="40"/>
    <w:rsid w:val="00BC1D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84AB3"/>
    <w:pPr>
      <w:spacing w:after="0" w:line="240" w:lineRule="auto"/>
    </w:pPr>
  </w:style>
  <w:style w:type="table" w:styleId="PlainTable4">
    <w:name w:val="Plain Table 4"/>
    <w:basedOn w:val="TableNormal"/>
    <w:uiPriority w:val="44"/>
    <w:rsid w:val="00951B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51B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27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controlboundarysink">
    <w:name w:val="contentcontrolboundarysink"/>
    <w:basedOn w:val="DefaultParagraphFont"/>
    <w:rsid w:val="00132B1D"/>
  </w:style>
  <w:style w:type="table" w:styleId="GridTable1Light">
    <w:name w:val="Grid Table 1 Light"/>
    <w:basedOn w:val="TableNormal"/>
    <w:uiPriority w:val="46"/>
    <w:rsid w:val="007243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243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2436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243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30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D00"/>
    <w:rPr>
      <w:rFonts w:ascii="Courier New" w:eastAsia="Times New Roman" w:hAnsi="Courier New" w:cs="Courier New"/>
      <w:sz w:val="20"/>
      <w:szCs w:val="20"/>
    </w:rPr>
  </w:style>
  <w:style w:type="character" w:customStyle="1" w:styleId="gnvwddmdn3b">
    <w:name w:val="gnvwddmdn3b"/>
    <w:basedOn w:val="DefaultParagraphFont"/>
    <w:rsid w:val="00302D00"/>
  </w:style>
  <w:style w:type="paragraph" w:customStyle="1" w:styleId="ecl-u-type-paragraph">
    <w:name w:val="ecl-u-type-paragraph"/>
    <w:basedOn w:val="Normal"/>
    <w:rsid w:val="00600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980">
      <w:bodyDiv w:val="1"/>
      <w:marLeft w:val="0"/>
      <w:marRight w:val="0"/>
      <w:marTop w:val="0"/>
      <w:marBottom w:val="0"/>
      <w:divBdr>
        <w:top w:val="none" w:sz="0" w:space="0" w:color="auto"/>
        <w:left w:val="none" w:sz="0" w:space="0" w:color="auto"/>
        <w:bottom w:val="none" w:sz="0" w:space="0" w:color="auto"/>
        <w:right w:val="none" w:sz="0" w:space="0" w:color="auto"/>
      </w:divBdr>
    </w:div>
    <w:div w:id="73935671">
      <w:bodyDiv w:val="1"/>
      <w:marLeft w:val="0"/>
      <w:marRight w:val="0"/>
      <w:marTop w:val="0"/>
      <w:marBottom w:val="0"/>
      <w:divBdr>
        <w:top w:val="none" w:sz="0" w:space="0" w:color="auto"/>
        <w:left w:val="none" w:sz="0" w:space="0" w:color="auto"/>
        <w:bottom w:val="none" w:sz="0" w:space="0" w:color="auto"/>
        <w:right w:val="none" w:sz="0" w:space="0" w:color="auto"/>
      </w:divBdr>
    </w:div>
    <w:div w:id="91560623">
      <w:marLeft w:val="0"/>
      <w:marRight w:val="0"/>
      <w:marTop w:val="0"/>
      <w:marBottom w:val="0"/>
      <w:divBdr>
        <w:top w:val="none" w:sz="0" w:space="0" w:color="auto"/>
        <w:left w:val="none" w:sz="0" w:space="0" w:color="auto"/>
        <w:bottom w:val="none" w:sz="0" w:space="0" w:color="auto"/>
        <w:right w:val="none" w:sz="0" w:space="0" w:color="auto"/>
      </w:divBdr>
      <w:divsChild>
        <w:div w:id="155152055">
          <w:marLeft w:val="0"/>
          <w:marRight w:val="0"/>
          <w:marTop w:val="0"/>
          <w:marBottom w:val="0"/>
          <w:divBdr>
            <w:top w:val="none" w:sz="0" w:space="0" w:color="auto"/>
            <w:left w:val="none" w:sz="0" w:space="0" w:color="auto"/>
            <w:bottom w:val="none" w:sz="0" w:space="0" w:color="auto"/>
            <w:right w:val="none" w:sz="0" w:space="0" w:color="auto"/>
          </w:divBdr>
        </w:div>
      </w:divsChild>
    </w:div>
    <w:div w:id="107554394">
      <w:bodyDiv w:val="1"/>
      <w:marLeft w:val="0"/>
      <w:marRight w:val="0"/>
      <w:marTop w:val="0"/>
      <w:marBottom w:val="0"/>
      <w:divBdr>
        <w:top w:val="none" w:sz="0" w:space="0" w:color="auto"/>
        <w:left w:val="none" w:sz="0" w:space="0" w:color="auto"/>
        <w:bottom w:val="none" w:sz="0" w:space="0" w:color="auto"/>
        <w:right w:val="none" w:sz="0" w:space="0" w:color="auto"/>
      </w:divBdr>
    </w:div>
    <w:div w:id="134032983">
      <w:marLeft w:val="0"/>
      <w:marRight w:val="0"/>
      <w:marTop w:val="0"/>
      <w:marBottom w:val="0"/>
      <w:divBdr>
        <w:top w:val="none" w:sz="0" w:space="0" w:color="auto"/>
        <w:left w:val="none" w:sz="0" w:space="0" w:color="auto"/>
        <w:bottom w:val="none" w:sz="0" w:space="0" w:color="auto"/>
        <w:right w:val="none" w:sz="0" w:space="0" w:color="auto"/>
      </w:divBdr>
      <w:divsChild>
        <w:div w:id="1645045607">
          <w:marLeft w:val="0"/>
          <w:marRight w:val="0"/>
          <w:marTop w:val="0"/>
          <w:marBottom w:val="0"/>
          <w:divBdr>
            <w:top w:val="none" w:sz="0" w:space="0" w:color="auto"/>
            <w:left w:val="none" w:sz="0" w:space="0" w:color="auto"/>
            <w:bottom w:val="none" w:sz="0" w:space="0" w:color="auto"/>
            <w:right w:val="none" w:sz="0" w:space="0" w:color="auto"/>
          </w:divBdr>
        </w:div>
      </w:divsChild>
    </w:div>
    <w:div w:id="167646997">
      <w:marLeft w:val="0"/>
      <w:marRight w:val="0"/>
      <w:marTop w:val="0"/>
      <w:marBottom w:val="0"/>
      <w:divBdr>
        <w:top w:val="none" w:sz="0" w:space="0" w:color="auto"/>
        <w:left w:val="none" w:sz="0" w:space="0" w:color="auto"/>
        <w:bottom w:val="none" w:sz="0" w:space="0" w:color="auto"/>
        <w:right w:val="none" w:sz="0" w:space="0" w:color="auto"/>
      </w:divBdr>
      <w:divsChild>
        <w:div w:id="2109351248">
          <w:marLeft w:val="0"/>
          <w:marRight w:val="0"/>
          <w:marTop w:val="0"/>
          <w:marBottom w:val="0"/>
          <w:divBdr>
            <w:top w:val="none" w:sz="0" w:space="0" w:color="auto"/>
            <w:left w:val="none" w:sz="0" w:space="0" w:color="auto"/>
            <w:bottom w:val="none" w:sz="0" w:space="0" w:color="auto"/>
            <w:right w:val="none" w:sz="0" w:space="0" w:color="auto"/>
          </w:divBdr>
        </w:div>
      </w:divsChild>
    </w:div>
    <w:div w:id="186454504">
      <w:marLeft w:val="0"/>
      <w:marRight w:val="0"/>
      <w:marTop w:val="0"/>
      <w:marBottom w:val="0"/>
      <w:divBdr>
        <w:top w:val="none" w:sz="0" w:space="0" w:color="auto"/>
        <w:left w:val="none" w:sz="0" w:space="0" w:color="auto"/>
        <w:bottom w:val="none" w:sz="0" w:space="0" w:color="auto"/>
        <w:right w:val="none" w:sz="0" w:space="0" w:color="auto"/>
      </w:divBdr>
      <w:divsChild>
        <w:div w:id="604382037">
          <w:marLeft w:val="0"/>
          <w:marRight w:val="0"/>
          <w:marTop w:val="0"/>
          <w:marBottom w:val="0"/>
          <w:divBdr>
            <w:top w:val="none" w:sz="0" w:space="0" w:color="auto"/>
            <w:left w:val="none" w:sz="0" w:space="0" w:color="auto"/>
            <w:bottom w:val="none" w:sz="0" w:space="0" w:color="auto"/>
            <w:right w:val="none" w:sz="0" w:space="0" w:color="auto"/>
          </w:divBdr>
        </w:div>
      </w:divsChild>
    </w:div>
    <w:div w:id="218169836">
      <w:bodyDiv w:val="1"/>
      <w:marLeft w:val="0"/>
      <w:marRight w:val="0"/>
      <w:marTop w:val="0"/>
      <w:marBottom w:val="0"/>
      <w:divBdr>
        <w:top w:val="none" w:sz="0" w:space="0" w:color="auto"/>
        <w:left w:val="none" w:sz="0" w:space="0" w:color="auto"/>
        <w:bottom w:val="none" w:sz="0" w:space="0" w:color="auto"/>
        <w:right w:val="none" w:sz="0" w:space="0" w:color="auto"/>
      </w:divBdr>
    </w:div>
    <w:div w:id="303580696">
      <w:bodyDiv w:val="1"/>
      <w:marLeft w:val="0"/>
      <w:marRight w:val="0"/>
      <w:marTop w:val="0"/>
      <w:marBottom w:val="0"/>
      <w:divBdr>
        <w:top w:val="none" w:sz="0" w:space="0" w:color="auto"/>
        <w:left w:val="none" w:sz="0" w:space="0" w:color="auto"/>
        <w:bottom w:val="none" w:sz="0" w:space="0" w:color="auto"/>
        <w:right w:val="none" w:sz="0" w:space="0" w:color="auto"/>
      </w:divBdr>
    </w:div>
    <w:div w:id="317342395">
      <w:marLeft w:val="0"/>
      <w:marRight w:val="0"/>
      <w:marTop w:val="0"/>
      <w:marBottom w:val="0"/>
      <w:divBdr>
        <w:top w:val="none" w:sz="0" w:space="0" w:color="auto"/>
        <w:left w:val="none" w:sz="0" w:space="0" w:color="auto"/>
        <w:bottom w:val="none" w:sz="0" w:space="0" w:color="auto"/>
        <w:right w:val="none" w:sz="0" w:space="0" w:color="auto"/>
      </w:divBdr>
      <w:divsChild>
        <w:div w:id="849292999">
          <w:marLeft w:val="0"/>
          <w:marRight w:val="0"/>
          <w:marTop w:val="0"/>
          <w:marBottom w:val="0"/>
          <w:divBdr>
            <w:top w:val="none" w:sz="0" w:space="0" w:color="auto"/>
            <w:left w:val="none" w:sz="0" w:space="0" w:color="auto"/>
            <w:bottom w:val="none" w:sz="0" w:space="0" w:color="auto"/>
            <w:right w:val="none" w:sz="0" w:space="0" w:color="auto"/>
          </w:divBdr>
        </w:div>
      </w:divsChild>
    </w:div>
    <w:div w:id="330984998">
      <w:marLeft w:val="0"/>
      <w:marRight w:val="0"/>
      <w:marTop w:val="0"/>
      <w:marBottom w:val="0"/>
      <w:divBdr>
        <w:top w:val="none" w:sz="0" w:space="0" w:color="auto"/>
        <w:left w:val="none" w:sz="0" w:space="0" w:color="auto"/>
        <w:bottom w:val="none" w:sz="0" w:space="0" w:color="auto"/>
        <w:right w:val="none" w:sz="0" w:space="0" w:color="auto"/>
      </w:divBdr>
      <w:divsChild>
        <w:div w:id="1331904497">
          <w:marLeft w:val="0"/>
          <w:marRight w:val="0"/>
          <w:marTop w:val="0"/>
          <w:marBottom w:val="0"/>
          <w:divBdr>
            <w:top w:val="none" w:sz="0" w:space="0" w:color="auto"/>
            <w:left w:val="none" w:sz="0" w:space="0" w:color="auto"/>
            <w:bottom w:val="none" w:sz="0" w:space="0" w:color="auto"/>
            <w:right w:val="none" w:sz="0" w:space="0" w:color="auto"/>
          </w:divBdr>
        </w:div>
      </w:divsChild>
    </w:div>
    <w:div w:id="352344835">
      <w:marLeft w:val="0"/>
      <w:marRight w:val="0"/>
      <w:marTop w:val="0"/>
      <w:marBottom w:val="0"/>
      <w:divBdr>
        <w:top w:val="none" w:sz="0" w:space="0" w:color="auto"/>
        <w:left w:val="none" w:sz="0" w:space="0" w:color="auto"/>
        <w:bottom w:val="none" w:sz="0" w:space="0" w:color="auto"/>
        <w:right w:val="none" w:sz="0" w:space="0" w:color="auto"/>
      </w:divBdr>
      <w:divsChild>
        <w:div w:id="23990807">
          <w:marLeft w:val="0"/>
          <w:marRight w:val="0"/>
          <w:marTop w:val="0"/>
          <w:marBottom w:val="0"/>
          <w:divBdr>
            <w:top w:val="none" w:sz="0" w:space="0" w:color="auto"/>
            <w:left w:val="none" w:sz="0" w:space="0" w:color="auto"/>
            <w:bottom w:val="none" w:sz="0" w:space="0" w:color="auto"/>
            <w:right w:val="none" w:sz="0" w:space="0" w:color="auto"/>
          </w:divBdr>
        </w:div>
      </w:divsChild>
    </w:div>
    <w:div w:id="357046019">
      <w:marLeft w:val="0"/>
      <w:marRight w:val="0"/>
      <w:marTop w:val="0"/>
      <w:marBottom w:val="0"/>
      <w:divBdr>
        <w:top w:val="none" w:sz="0" w:space="0" w:color="auto"/>
        <w:left w:val="none" w:sz="0" w:space="0" w:color="auto"/>
        <w:bottom w:val="none" w:sz="0" w:space="0" w:color="auto"/>
        <w:right w:val="none" w:sz="0" w:space="0" w:color="auto"/>
      </w:divBdr>
      <w:divsChild>
        <w:div w:id="1624073067">
          <w:marLeft w:val="0"/>
          <w:marRight w:val="0"/>
          <w:marTop w:val="0"/>
          <w:marBottom w:val="0"/>
          <w:divBdr>
            <w:top w:val="none" w:sz="0" w:space="0" w:color="auto"/>
            <w:left w:val="none" w:sz="0" w:space="0" w:color="auto"/>
            <w:bottom w:val="none" w:sz="0" w:space="0" w:color="auto"/>
            <w:right w:val="none" w:sz="0" w:space="0" w:color="auto"/>
          </w:divBdr>
        </w:div>
      </w:divsChild>
    </w:div>
    <w:div w:id="364644141">
      <w:bodyDiv w:val="1"/>
      <w:marLeft w:val="0"/>
      <w:marRight w:val="0"/>
      <w:marTop w:val="0"/>
      <w:marBottom w:val="0"/>
      <w:divBdr>
        <w:top w:val="none" w:sz="0" w:space="0" w:color="auto"/>
        <w:left w:val="none" w:sz="0" w:space="0" w:color="auto"/>
        <w:bottom w:val="none" w:sz="0" w:space="0" w:color="auto"/>
        <w:right w:val="none" w:sz="0" w:space="0" w:color="auto"/>
      </w:divBdr>
    </w:div>
    <w:div w:id="377046102">
      <w:marLeft w:val="0"/>
      <w:marRight w:val="0"/>
      <w:marTop w:val="0"/>
      <w:marBottom w:val="0"/>
      <w:divBdr>
        <w:top w:val="none" w:sz="0" w:space="0" w:color="auto"/>
        <w:left w:val="none" w:sz="0" w:space="0" w:color="auto"/>
        <w:bottom w:val="none" w:sz="0" w:space="0" w:color="auto"/>
        <w:right w:val="none" w:sz="0" w:space="0" w:color="auto"/>
      </w:divBdr>
      <w:divsChild>
        <w:div w:id="1113935631">
          <w:marLeft w:val="0"/>
          <w:marRight w:val="0"/>
          <w:marTop w:val="0"/>
          <w:marBottom w:val="0"/>
          <w:divBdr>
            <w:top w:val="none" w:sz="0" w:space="0" w:color="auto"/>
            <w:left w:val="none" w:sz="0" w:space="0" w:color="auto"/>
            <w:bottom w:val="none" w:sz="0" w:space="0" w:color="auto"/>
            <w:right w:val="none" w:sz="0" w:space="0" w:color="auto"/>
          </w:divBdr>
        </w:div>
      </w:divsChild>
    </w:div>
    <w:div w:id="378825059">
      <w:marLeft w:val="0"/>
      <w:marRight w:val="0"/>
      <w:marTop w:val="0"/>
      <w:marBottom w:val="0"/>
      <w:divBdr>
        <w:top w:val="none" w:sz="0" w:space="0" w:color="auto"/>
        <w:left w:val="none" w:sz="0" w:space="0" w:color="auto"/>
        <w:bottom w:val="none" w:sz="0" w:space="0" w:color="auto"/>
        <w:right w:val="none" w:sz="0" w:space="0" w:color="auto"/>
      </w:divBdr>
      <w:divsChild>
        <w:div w:id="42682500">
          <w:marLeft w:val="0"/>
          <w:marRight w:val="0"/>
          <w:marTop w:val="0"/>
          <w:marBottom w:val="0"/>
          <w:divBdr>
            <w:top w:val="none" w:sz="0" w:space="0" w:color="auto"/>
            <w:left w:val="none" w:sz="0" w:space="0" w:color="auto"/>
            <w:bottom w:val="none" w:sz="0" w:space="0" w:color="auto"/>
            <w:right w:val="none" w:sz="0" w:space="0" w:color="auto"/>
          </w:divBdr>
        </w:div>
      </w:divsChild>
    </w:div>
    <w:div w:id="401295819">
      <w:bodyDiv w:val="1"/>
      <w:marLeft w:val="0"/>
      <w:marRight w:val="0"/>
      <w:marTop w:val="0"/>
      <w:marBottom w:val="0"/>
      <w:divBdr>
        <w:top w:val="none" w:sz="0" w:space="0" w:color="auto"/>
        <w:left w:val="none" w:sz="0" w:space="0" w:color="auto"/>
        <w:bottom w:val="none" w:sz="0" w:space="0" w:color="auto"/>
        <w:right w:val="none" w:sz="0" w:space="0" w:color="auto"/>
      </w:divBdr>
      <w:divsChild>
        <w:div w:id="1831828400">
          <w:marLeft w:val="0"/>
          <w:marRight w:val="0"/>
          <w:marTop w:val="0"/>
          <w:marBottom w:val="0"/>
          <w:divBdr>
            <w:top w:val="none" w:sz="0" w:space="0" w:color="auto"/>
            <w:left w:val="none" w:sz="0" w:space="0" w:color="auto"/>
            <w:bottom w:val="none" w:sz="0" w:space="0" w:color="auto"/>
            <w:right w:val="none" w:sz="0" w:space="0" w:color="auto"/>
          </w:divBdr>
        </w:div>
      </w:divsChild>
    </w:div>
    <w:div w:id="419914958">
      <w:bodyDiv w:val="1"/>
      <w:marLeft w:val="0"/>
      <w:marRight w:val="0"/>
      <w:marTop w:val="0"/>
      <w:marBottom w:val="0"/>
      <w:divBdr>
        <w:top w:val="none" w:sz="0" w:space="0" w:color="auto"/>
        <w:left w:val="none" w:sz="0" w:space="0" w:color="auto"/>
        <w:bottom w:val="none" w:sz="0" w:space="0" w:color="auto"/>
        <w:right w:val="none" w:sz="0" w:space="0" w:color="auto"/>
      </w:divBdr>
    </w:div>
    <w:div w:id="429203595">
      <w:marLeft w:val="0"/>
      <w:marRight w:val="0"/>
      <w:marTop w:val="0"/>
      <w:marBottom w:val="0"/>
      <w:divBdr>
        <w:top w:val="none" w:sz="0" w:space="0" w:color="auto"/>
        <w:left w:val="none" w:sz="0" w:space="0" w:color="auto"/>
        <w:bottom w:val="none" w:sz="0" w:space="0" w:color="auto"/>
        <w:right w:val="none" w:sz="0" w:space="0" w:color="auto"/>
      </w:divBdr>
      <w:divsChild>
        <w:div w:id="490682693">
          <w:marLeft w:val="0"/>
          <w:marRight w:val="0"/>
          <w:marTop w:val="0"/>
          <w:marBottom w:val="0"/>
          <w:divBdr>
            <w:top w:val="none" w:sz="0" w:space="0" w:color="auto"/>
            <w:left w:val="none" w:sz="0" w:space="0" w:color="auto"/>
            <w:bottom w:val="none" w:sz="0" w:space="0" w:color="auto"/>
            <w:right w:val="none" w:sz="0" w:space="0" w:color="auto"/>
          </w:divBdr>
        </w:div>
      </w:divsChild>
    </w:div>
    <w:div w:id="446386858">
      <w:marLeft w:val="0"/>
      <w:marRight w:val="0"/>
      <w:marTop w:val="0"/>
      <w:marBottom w:val="0"/>
      <w:divBdr>
        <w:top w:val="none" w:sz="0" w:space="0" w:color="auto"/>
        <w:left w:val="none" w:sz="0" w:space="0" w:color="auto"/>
        <w:bottom w:val="none" w:sz="0" w:space="0" w:color="auto"/>
        <w:right w:val="none" w:sz="0" w:space="0" w:color="auto"/>
      </w:divBdr>
      <w:divsChild>
        <w:div w:id="1331637395">
          <w:marLeft w:val="0"/>
          <w:marRight w:val="0"/>
          <w:marTop w:val="0"/>
          <w:marBottom w:val="0"/>
          <w:divBdr>
            <w:top w:val="none" w:sz="0" w:space="0" w:color="auto"/>
            <w:left w:val="none" w:sz="0" w:space="0" w:color="auto"/>
            <w:bottom w:val="none" w:sz="0" w:space="0" w:color="auto"/>
            <w:right w:val="none" w:sz="0" w:space="0" w:color="auto"/>
          </w:divBdr>
        </w:div>
      </w:divsChild>
    </w:div>
    <w:div w:id="448475270">
      <w:marLeft w:val="0"/>
      <w:marRight w:val="0"/>
      <w:marTop w:val="0"/>
      <w:marBottom w:val="0"/>
      <w:divBdr>
        <w:top w:val="none" w:sz="0" w:space="0" w:color="auto"/>
        <w:left w:val="none" w:sz="0" w:space="0" w:color="auto"/>
        <w:bottom w:val="none" w:sz="0" w:space="0" w:color="auto"/>
        <w:right w:val="none" w:sz="0" w:space="0" w:color="auto"/>
      </w:divBdr>
      <w:divsChild>
        <w:div w:id="448091760">
          <w:marLeft w:val="0"/>
          <w:marRight w:val="0"/>
          <w:marTop w:val="0"/>
          <w:marBottom w:val="0"/>
          <w:divBdr>
            <w:top w:val="none" w:sz="0" w:space="0" w:color="auto"/>
            <w:left w:val="none" w:sz="0" w:space="0" w:color="auto"/>
            <w:bottom w:val="none" w:sz="0" w:space="0" w:color="auto"/>
            <w:right w:val="none" w:sz="0" w:space="0" w:color="auto"/>
          </w:divBdr>
        </w:div>
      </w:divsChild>
    </w:div>
    <w:div w:id="448663735">
      <w:marLeft w:val="0"/>
      <w:marRight w:val="0"/>
      <w:marTop w:val="0"/>
      <w:marBottom w:val="0"/>
      <w:divBdr>
        <w:top w:val="none" w:sz="0" w:space="0" w:color="auto"/>
        <w:left w:val="none" w:sz="0" w:space="0" w:color="auto"/>
        <w:bottom w:val="none" w:sz="0" w:space="0" w:color="auto"/>
        <w:right w:val="none" w:sz="0" w:space="0" w:color="auto"/>
      </w:divBdr>
      <w:divsChild>
        <w:div w:id="2033334066">
          <w:marLeft w:val="0"/>
          <w:marRight w:val="0"/>
          <w:marTop w:val="0"/>
          <w:marBottom w:val="0"/>
          <w:divBdr>
            <w:top w:val="none" w:sz="0" w:space="0" w:color="auto"/>
            <w:left w:val="none" w:sz="0" w:space="0" w:color="auto"/>
            <w:bottom w:val="none" w:sz="0" w:space="0" w:color="auto"/>
            <w:right w:val="none" w:sz="0" w:space="0" w:color="auto"/>
          </w:divBdr>
        </w:div>
      </w:divsChild>
    </w:div>
    <w:div w:id="539785291">
      <w:marLeft w:val="0"/>
      <w:marRight w:val="0"/>
      <w:marTop w:val="0"/>
      <w:marBottom w:val="0"/>
      <w:divBdr>
        <w:top w:val="none" w:sz="0" w:space="0" w:color="auto"/>
        <w:left w:val="none" w:sz="0" w:space="0" w:color="auto"/>
        <w:bottom w:val="none" w:sz="0" w:space="0" w:color="auto"/>
        <w:right w:val="none" w:sz="0" w:space="0" w:color="auto"/>
      </w:divBdr>
      <w:divsChild>
        <w:div w:id="1545017129">
          <w:marLeft w:val="0"/>
          <w:marRight w:val="0"/>
          <w:marTop w:val="0"/>
          <w:marBottom w:val="0"/>
          <w:divBdr>
            <w:top w:val="none" w:sz="0" w:space="0" w:color="auto"/>
            <w:left w:val="none" w:sz="0" w:space="0" w:color="auto"/>
            <w:bottom w:val="none" w:sz="0" w:space="0" w:color="auto"/>
            <w:right w:val="none" w:sz="0" w:space="0" w:color="auto"/>
          </w:divBdr>
        </w:div>
      </w:divsChild>
    </w:div>
    <w:div w:id="623199178">
      <w:bodyDiv w:val="1"/>
      <w:marLeft w:val="0"/>
      <w:marRight w:val="0"/>
      <w:marTop w:val="0"/>
      <w:marBottom w:val="0"/>
      <w:divBdr>
        <w:top w:val="none" w:sz="0" w:space="0" w:color="auto"/>
        <w:left w:val="none" w:sz="0" w:space="0" w:color="auto"/>
        <w:bottom w:val="none" w:sz="0" w:space="0" w:color="auto"/>
        <w:right w:val="none" w:sz="0" w:space="0" w:color="auto"/>
      </w:divBdr>
    </w:div>
    <w:div w:id="641694804">
      <w:marLeft w:val="0"/>
      <w:marRight w:val="0"/>
      <w:marTop w:val="0"/>
      <w:marBottom w:val="0"/>
      <w:divBdr>
        <w:top w:val="none" w:sz="0" w:space="0" w:color="auto"/>
        <w:left w:val="none" w:sz="0" w:space="0" w:color="auto"/>
        <w:bottom w:val="none" w:sz="0" w:space="0" w:color="auto"/>
        <w:right w:val="none" w:sz="0" w:space="0" w:color="auto"/>
      </w:divBdr>
      <w:divsChild>
        <w:div w:id="850413677">
          <w:marLeft w:val="0"/>
          <w:marRight w:val="0"/>
          <w:marTop w:val="0"/>
          <w:marBottom w:val="0"/>
          <w:divBdr>
            <w:top w:val="none" w:sz="0" w:space="0" w:color="auto"/>
            <w:left w:val="none" w:sz="0" w:space="0" w:color="auto"/>
            <w:bottom w:val="none" w:sz="0" w:space="0" w:color="auto"/>
            <w:right w:val="none" w:sz="0" w:space="0" w:color="auto"/>
          </w:divBdr>
        </w:div>
      </w:divsChild>
    </w:div>
    <w:div w:id="648293394">
      <w:marLeft w:val="0"/>
      <w:marRight w:val="0"/>
      <w:marTop w:val="0"/>
      <w:marBottom w:val="0"/>
      <w:divBdr>
        <w:top w:val="none" w:sz="0" w:space="0" w:color="auto"/>
        <w:left w:val="none" w:sz="0" w:space="0" w:color="auto"/>
        <w:bottom w:val="none" w:sz="0" w:space="0" w:color="auto"/>
        <w:right w:val="none" w:sz="0" w:space="0" w:color="auto"/>
      </w:divBdr>
      <w:divsChild>
        <w:div w:id="174073226">
          <w:marLeft w:val="0"/>
          <w:marRight w:val="0"/>
          <w:marTop w:val="0"/>
          <w:marBottom w:val="0"/>
          <w:divBdr>
            <w:top w:val="none" w:sz="0" w:space="0" w:color="auto"/>
            <w:left w:val="none" w:sz="0" w:space="0" w:color="auto"/>
            <w:bottom w:val="none" w:sz="0" w:space="0" w:color="auto"/>
            <w:right w:val="none" w:sz="0" w:space="0" w:color="auto"/>
          </w:divBdr>
        </w:div>
      </w:divsChild>
    </w:div>
    <w:div w:id="663435038">
      <w:bodyDiv w:val="1"/>
      <w:marLeft w:val="0"/>
      <w:marRight w:val="0"/>
      <w:marTop w:val="0"/>
      <w:marBottom w:val="0"/>
      <w:divBdr>
        <w:top w:val="none" w:sz="0" w:space="0" w:color="auto"/>
        <w:left w:val="none" w:sz="0" w:space="0" w:color="auto"/>
        <w:bottom w:val="none" w:sz="0" w:space="0" w:color="auto"/>
        <w:right w:val="none" w:sz="0" w:space="0" w:color="auto"/>
      </w:divBdr>
    </w:div>
    <w:div w:id="709493340">
      <w:bodyDiv w:val="1"/>
      <w:marLeft w:val="0"/>
      <w:marRight w:val="0"/>
      <w:marTop w:val="0"/>
      <w:marBottom w:val="0"/>
      <w:divBdr>
        <w:top w:val="none" w:sz="0" w:space="0" w:color="auto"/>
        <w:left w:val="none" w:sz="0" w:space="0" w:color="auto"/>
        <w:bottom w:val="none" w:sz="0" w:space="0" w:color="auto"/>
        <w:right w:val="none" w:sz="0" w:space="0" w:color="auto"/>
      </w:divBdr>
    </w:div>
    <w:div w:id="715937104">
      <w:marLeft w:val="0"/>
      <w:marRight w:val="0"/>
      <w:marTop w:val="0"/>
      <w:marBottom w:val="0"/>
      <w:divBdr>
        <w:top w:val="none" w:sz="0" w:space="0" w:color="auto"/>
        <w:left w:val="none" w:sz="0" w:space="0" w:color="auto"/>
        <w:bottom w:val="none" w:sz="0" w:space="0" w:color="auto"/>
        <w:right w:val="none" w:sz="0" w:space="0" w:color="auto"/>
      </w:divBdr>
      <w:divsChild>
        <w:div w:id="1604459823">
          <w:marLeft w:val="0"/>
          <w:marRight w:val="0"/>
          <w:marTop w:val="0"/>
          <w:marBottom w:val="0"/>
          <w:divBdr>
            <w:top w:val="none" w:sz="0" w:space="0" w:color="auto"/>
            <w:left w:val="none" w:sz="0" w:space="0" w:color="auto"/>
            <w:bottom w:val="none" w:sz="0" w:space="0" w:color="auto"/>
            <w:right w:val="none" w:sz="0" w:space="0" w:color="auto"/>
          </w:divBdr>
        </w:div>
      </w:divsChild>
    </w:div>
    <w:div w:id="719938735">
      <w:marLeft w:val="0"/>
      <w:marRight w:val="0"/>
      <w:marTop w:val="0"/>
      <w:marBottom w:val="0"/>
      <w:divBdr>
        <w:top w:val="none" w:sz="0" w:space="0" w:color="auto"/>
        <w:left w:val="none" w:sz="0" w:space="0" w:color="auto"/>
        <w:bottom w:val="none" w:sz="0" w:space="0" w:color="auto"/>
        <w:right w:val="none" w:sz="0" w:space="0" w:color="auto"/>
      </w:divBdr>
      <w:divsChild>
        <w:div w:id="832723592">
          <w:marLeft w:val="0"/>
          <w:marRight w:val="0"/>
          <w:marTop w:val="0"/>
          <w:marBottom w:val="0"/>
          <w:divBdr>
            <w:top w:val="none" w:sz="0" w:space="0" w:color="auto"/>
            <w:left w:val="none" w:sz="0" w:space="0" w:color="auto"/>
            <w:bottom w:val="none" w:sz="0" w:space="0" w:color="auto"/>
            <w:right w:val="none" w:sz="0" w:space="0" w:color="auto"/>
          </w:divBdr>
        </w:div>
      </w:divsChild>
    </w:div>
    <w:div w:id="755978859">
      <w:marLeft w:val="0"/>
      <w:marRight w:val="0"/>
      <w:marTop w:val="0"/>
      <w:marBottom w:val="0"/>
      <w:divBdr>
        <w:top w:val="none" w:sz="0" w:space="0" w:color="auto"/>
        <w:left w:val="none" w:sz="0" w:space="0" w:color="auto"/>
        <w:bottom w:val="none" w:sz="0" w:space="0" w:color="auto"/>
        <w:right w:val="none" w:sz="0" w:space="0" w:color="auto"/>
      </w:divBdr>
      <w:divsChild>
        <w:div w:id="1301377497">
          <w:marLeft w:val="0"/>
          <w:marRight w:val="0"/>
          <w:marTop w:val="0"/>
          <w:marBottom w:val="0"/>
          <w:divBdr>
            <w:top w:val="none" w:sz="0" w:space="0" w:color="auto"/>
            <w:left w:val="none" w:sz="0" w:space="0" w:color="auto"/>
            <w:bottom w:val="none" w:sz="0" w:space="0" w:color="auto"/>
            <w:right w:val="none" w:sz="0" w:space="0" w:color="auto"/>
          </w:divBdr>
        </w:div>
      </w:divsChild>
    </w:div>
    <w:div w:id="759570927">
      <w:bodyDiv w:val="1"/>
      <w:marLeft w:val="0"/>
      <w:marRight w:val="0"/>
      <w:marTop w:val="0"/>
      <w:marBottom w:val="0"/>
      <w:divBdr>
        <w:top w:val="none" w:sz="0" w:space="0" w:color="auto"/>
        <w:left w:val="none" w:sz="0" w:space="0" w:color="auto"/>
        <w:bottom w:val="none" w:sz="0" w:space="0" w:color="auto"/>
        <w:right w:val="none" w:sz="0" w:space="0" w:color="auto"/>
      </w:divBdr>
      <w:divsChild>
        <w:div w:id="369695749">
          <w:marLeft w:val="0"/>
          <w:marRight w:val="0"/>
          <w:marTop w:val="0"/>
          <w:marBottom w:val="0"/>
          <w:divBdr>
            <w:top w:val="none" w:sz="0" w:space="0" w:color="auto"/>
            <w:left w:val="none" w:sz="0" w:space="0" w:color="auto"/>
            <w:bottom w:val="none" w:sz="0" w:space="0" w:color="auto"/>
            <w:right w:val="none" w:sz="0" w:space="0" w:color="auto"/>
          </w:divBdr>
        </w:div>
        <w:div w:id="1006439090">
          <w:marLeft w:val="0"/>
          <w:marRight w:val="0"/>
          <w:marTop w:val="0"/>
          <w:marBottom w:val="0"/>
          <w:divBdr>
            <w:top w:val="none" w:sz="0" w:space="0" w:color="auto"/>
            <w:left w:val="none" w:sz="0" w:space="0" w:color="auto"/>
            <w:bottom w:val="none" w:sz="0" w:space="0" w:color="auto"/>
            <w:right w:val="none" w:sz="0" w:space="0" w:color="auto"/>
          </w:divBdr>
        </w:div>
        <w:div w:id="1138259627">
          <w:marLeft w:val="0"/>
          <w:marRight w:val="0"/>
          <w:marTop w:val="0"/>
          <w:marBottom w:val="0"/>
          <w:divBdr>
            <w:top w:val="none" w:sz="0" w:space="0" w:color="auto"/>
            <w:left w:val="none" w:sz="0" w:space="0" w:color="auto"/>
            <w:bottom w:val="none" w:sz="0" w:space="0" w:color="auto"/>
            <w:right w:val="none" w:sz="0" w:space="0" w:color="auto"/>
          </w:divBdr>
        </w:div>
        <w:div w:id="1238396220">
          <w:marLeft w:val="0"/>
          <w:marRight w:val="0"/>
          <w:marTop w:val="0"/>
          <w:marBottom w:val="0"/>
          <w:divBdr>
            <w:top w:val="none" w:sz="0" w:space="0" w:color="auto"/>
            <w:left w:val="none" w:sz="0" w:space="0" w:color="auto"/>
            <w:bottom w:val="none" w:sz="0" w:space="0" w:color="auto"/>
            <w:right w:val="none" w:sz="0" w:space="0" w:color="auto"/>
          </w:divBdr>
        </w:div>
        <w:div w:id="1926957641">
          <w:marLeft w:val="0"/>
          <w:marRight w:val="0"/>
          <w:marTop w:val="0"/>
          <w:marBottom w:val="0"/>
          <w:divBdr>
            <w:top w:val="none" w:sz="0" w:space="0" w:color="auto"/>
            <w:left w:val="none" w:sz="0" w:space="0" w:color="auto"/>
            <w:bottom w:val="none" w:sz="0" w:space="0" w:color="auto"/>
            <w:right w:val="none" w:sz="0" w:space="0" w:color="auto"/>
          </w:divBdr>
        </w:div>
      </w:divsChild>
    </w:div>
    <w:div w:id="792285253">
      <w:marLeft w:val="0"/>
      <w:marRight w:val="0"/>
      <w:marTop w:val="0"/>
      <w:marBottom w:val="0"/>
      <w:divBdr>
        <w:top w:val="none" w:sz="0" w:space="0" w:color="auto"/>
        <w:left w:val="none" w:sz="0" w:space="0" w:color="auto"/>
        <w:bottom w:val="none" w:sz="0" w:space="0" w:color="auto"/>
        <w:right w:val="none" w:sz="0" w:space="0" w:color="auto"/>
      </w:divBdr>
      <w:divsChild>
        <w:div w:id="1324892426">
          <w:marLeft w:val="0"/>
          <w:marRight w:val="0"/>
          <w:marTop w:val="0"/>
          <w:marBottom w:val="0"/>
          <w:divBdr>
            <w:top w:val="none" w:sz="0" w:space="0" w:color="auto"/>
            <w:left w:val="none" w:sz="0" w:space="0" w:color="auto"/>
            <w:bottom w:val="none" w:sz="0" w:space="0" w:color="auto"/>
            <w:right w:val="none" w:sz="0" w:space="0" w:color="auto"/>
          </w:divBdr>
        </w:div>
      </w:divsChild>
    </w:div>
    <w:div w:id="838613921">
      <w:bodyDiv w:val="1"/>
      <w:marLeft w:val="0"/>
      <w:marRight w:val="0"/>
      <w:marTop w:val="0"/>
      <w:marBottom w:val="0"/>
      <w:divBdr>
        <w:top w:val="none" w:sz="0" w:space="0" w:color="auto"/>
        <w:left w:val="none" w:sz="0" w:space="0" w:color="auto"/>
        <w:bottom w:val="none" w:sz="0" w:space="0" w:color="auto"/>
        <w:right w:val="none" w:sz="0" w:space="0" w:color="auto"/>
      </w:divBdr>
      <w:divsChild>
        <w:div w:id="632099315">
          <w:marLeft w:val="0"/>
          <w:marRight w:val="0"/>
          <w:marTop w:val="0"/>
          <w:marBottom w:val="0"/>
          <w:divBdr>
            <w:top w:val="none" w:sz="0" w:space="0" w:color="auto"/>
            <w:left w:val="none" w:sz="0" w:space="0" w:color="auto"/>
            <w:bottom w:val="none" w:sz="0" w:space="0" w:color="auto"/>
            <w:right w:val="none" w:sz="0" w:space="0" w:color="auto"/>
          </w:divBdr>
        </w:div>
        <w:div w:id="893811932">
          <w:marLeft w:val="0"/>
          <w:marRight w:val="0"/>
          <w:marTop w:val="0"/>
          <w:marBottom w:val="0"/>
          <w:divBdr>
            <w:top w:val="none" w:sz="0" w:space="0" w:color="auto"/>
            <w:left w:val="none" w:sz="0" w:space="0" w:color="auto"/>
            <w:bottom w:val="none" w:sz="0" w:space="0" w:color="auto"/>
            <w:right w:val="none" w:sz="0" w:space="0" w:color="auto"/>
          </w:divBdr>
        </w:div>
        <w:div w:id="1181235899">
          <w:marLeft w:val="0"/>
          <w:marRight w:val="0"/>
          <w:marTop w:val="0"/>
          <w:marBottom w:val="0"/>
          <w:divBdr>
            <w:top w:val="none" w:sz="0" w:space="0" w:color="auto"/>
            <w:left w:val="none" w:sz="0" w:space="0" w:color="auto"/>
            <w:bottom w:val="none" w:sz="0" w:space="0" w:color="auto"/>
            <w:right w:val="none" w:sz="0" w:space="0" w:color="auto"/>
          </w:divBdr>
        </w:div>
      </w:divsChild>
    </w:div>
    <w:div w:id="848325977">
      <w:marLeft w:val="0"/>
      <w:marRight w:val="0"/>
      <w:marTop w:val="0"/>
      <w:marBottom w:val="0"/>
      <w:divBdr>
        <w:top w:val="none" w:sz="0" w:space="0" w:color="auto"/>
        <w:left w:val="none" w:sz="0" w:space="0" w:color="auto"/>
        <w:bottom w:val="none" w:sz="0" w:space="0" w:color="auto"/>
        <w:right w:val="none" w:sz="0" w:space="0" w:color="auto"/>
      </w:divBdr>
      <w:divsChild>
        <w:div w:id="86464459">
          <w:marLeft w:val="0"/>
          <w:marRight w:val="0"/>
          <w:marTop w:val="0"/>
          <w:marBottom w:val="0"/>
          <w:divBdr>
            <w:top w:val="none" w:sz="0" w:space="0" w:color="auto"/>
            <w:left w:val="none" w:sz="0" w:space="0" w:color="auto"/>
            <w:bottom w:val="none" w:sz="0" w:space="0" w:color="auto"/>
            <w:right w:val="none" w:sz="0" w:space="0" w:color="auto"/>
          </w:divBdr>
        </w:div>
      </w:divsChild>
    </w:div>
    <w:div w:id="871186727">
      <w:marLeft w:val="0"/>
      <w:marRight w:val="0"/>
      <w:marTop w:val="0"/>
      <w:marBottom w:val="0"/>
      <w:divBdr>
        <w:top w:val="none" w:sz="0" w:space="0" w:color="auto"/>
        <w:left w:val="none" w:sz="0" w:space="0" w:color="auto"/>
        <w:bottom w:val="none" w:sz="0" w:space="0" w:color="auto"/>
        <w:right w:val="none" w:sz="0" w:space="0" w:color="auto"/>
      </w:divBdr>
      <w:divsChild>
        <w:div w:id="655184720">
          <w:marLeft w:val="0"/>
          <w:marRight w:val="0"/>
          <w:marTop w:val="0"/>
          <w:marBottom w:val="0"/>
          <w:divBdr>
            <w:top w:val="none" w:sz="0" w:space="0" w:color="auto"/>
            <w:left w:val="none" w:sz="0" w:space="0" w:color="auto"/>
            <w:bottom w:val="none" w:sz="0" w:space="0" w:color="auto"/>
            <w:right w:val="none" w:sz="0" w:space="0" w:color="auto"/>
          </w:divBdr>
        </w:div>
      </w:divsChild>
    </w:div>
    <w:div w:id="878710884">
      <w:marLeft w:val="0"/>
      <w:marRight w:val="0"/>
      <w:marTop w:val="0"/>
      <w:marBottom w:val="0"/>
      <w:divBdr>
        <w:top w:val="none" w:sz="0" w:space="0" w:color="auto"/>
        <w:left w:val="none" w:sz="0" w:space="0" w:color="auto"/>
        <w:bottom w:val="none" w:sz="0" w:space="0" w:color="auto"/>
        <w:right w:val="none" w:sz="0" w:space="0" w:color="auto"/>
      </w:divBdr>
      <w:divsChild>
        <w:div w:id="716010298">
          <w:marLeft w:val="0"/>
          <w:marRight w:val="0"/>
          <w:marTop w:val="0"/>
          <w:marBottom w:val="0"/>
          <w:divBdr>
            <w:top w:val="none" w:sz="0" w:space="0" w:color="auto"/>
            <w:left w:val="none" w:sz="0" w:space="0" w:color="auto"/>
            <w:bottom w:val="none" w:sz="0" w:space="0" w:color="auto"/>
            <w:right w:val="none" w:sz="0" w:space="0" w:color="auto"/>
          </w:divBdr>
        </w:div>
      </w:divsChild>
    </w:div>
    <w:div w:id="943850282">
      <w:marLeft w:val="0"/>
      <w:marRight w:val="0"/>
      <w:marTop w:val="0"/>
      <w:marBottom w:val="0"/>
      <w:divBdr>
        <w:top w:val="none" w:sz="0" w:space="0" w:color="auto"/>
        <w:left w:val="none" w:sz="0" w:space="0" w:color="auto"/>
        <w:bottom w:val="none" w:sz="0" w:space="0" w:color="auto"/>
        <w:right w:val="none" w:sz="0" w:space="0" w:color="auto"/>
      </w:divBdr>
      <w:divsChild>
        <w:div w:id="2038694336">
          <w:marLeft w:val="0"/>
          <w:marRight w:val="0"/>
          <w:marTop w:val="0"/>
          <w:marBottom w:val="0"/>
          <w:divBdr>
            <w:top w:val="none" w:sz="0" w:space="0" w:color="auto"/>
            <w:left w:val="none" w:sz="0" w:space="0" w:color="auto"/>
            <w:bottom w:val="none" w:sz="0" w:space="0" w:color="auto"/>
            <w:right w:val="none" w:sz="0" w:space="0" w:color="auto"/>
          </w:divBdr>
        </w:div>
      </w:divsChild>
    </w:div>
    <w:div w:id="992948125">
      <w:bodyDiv w:val="1"/>
      <w:marLeft w:val="0"/>
      <w:marRight w:val="0"/>
      <w:marTop w:val="0"/>
      <w:marBottom w:val="0"/>
      <w:divBdr>
        <w:top w:val="none" w:sz="0" w:space="0" w:color="auto"/>
        <w:left w:val="none" w:sz="0" w:space="0" w:color="auto"/>
        <w:bottom w:val="none" w:sz="0" w:space="0" w:color="auto"/>
        <w:right w:val="none" w:sz="0" w:space="0" w:color="auto"/>
      </w:divBdr>
    </w:div>
    <w:div w:id="1011761683">
      <w:marLeft w:val="0"/>
      <w:marRight w:val="0"/>
      <w:marTop w:val="0"/>
      <w:marBottom w:val="0"/>
      <w:divBdr>
        <w:top w:val="none" w:sz="0" w:space="0" w:color="auto"/>
        <w:left w:val="none" w:sz="0" w:space="0" w:color="auto"/>
        <w:bottom w:val="none" w:sz="0" w:space="0" w:color="auto"/>
        <w:right w:val="none" w:sz="0" w:space="0" w:color="auto"/>
      </w:divBdr>
      <w:divsChild>
        <w:div w:id="8259766">
          <w:marLeft w:val="0"/>
          <w:marRight w:val="0"/>
          <w:marTop w:val="0"/>
          <w:marBottom w:val="0"/>
          <w:divBdr>
            <w:top w:val="none" w:sz="0" w:space="0" w:color="auto"/>
            <w:left w:val="none" w:sz="0" w:space="0" w:color="auto"/>
            <w:bottom w:val="none" w:sz="0" w:space="0" w:color="auto"/>
            <w:right w:val="none" w:sz="0" w:space="0" w:color="auto"/>
          </w:divBdr>
        </w:div>
      </w:divsChild>
    </w:div>
    <w:div w:id="1072199804">
      <w:marLeft w:val="0"/>
      <w:marRight w:val="0"/>
      <w:marTop w:val="0"/>
      <w:marBottom w:val="0"/>
      <w:divBdr>
        <w:top w:val="none" w:sz="0" w:space="0" w:color="auto"/>
        <w:left w:val="none" w:sz="0" w:space="0" w:color="auto"/>
        <w:bottom w:val="none" w:sz="0" w:space="0" w:color="auto"/>
        <w:right w:val="none" w:sz="0" w:space="0" w:color="auto"/>
      </w:divBdr>
      <w:divsChild>
        <w:div w:id="464742936">
          <w:marLeft w:val="0"/>
          <w:marRight w:val="0"/>
          <w:marTop w:val="0"/>
          <w:marBottom w:val="0"/>
          <w:divBdr>
            <w:top w:val="none" w:sz="0" w:space="0" w:color="auto"/>
            <w:left w:val="none" w:sz="0" w:space="0" w:color="auto"/>
            <w:bottom w:val="none" w:sz="0" w:space="0" w:color="auto"/>
            <w:right w:val="none" w:sz="0" w:space="0" w:color="auto"/>
          </w:divBdr>
        </w:div>
      </w:divsChild>
    </w:div>
    <w:div w:id="1091008907">
      <w:bodyDiv w:val="1"/>
      <w:marLeft w:val="0"/>
      <w:marRight w:val="0"/>
      <w:marTop w:val="0"/>
      <w:marBottom w:val="0"/>
      <w:divBdr>
        <w:top w:val="none" w:sz="0" w:space="0" w:color="auto"/>
        <w:left w:val="none" w:sz="0" w:space="0" w:color="auto"/>
        <w:bottom w:val="none" w:sz="0" w:space="0" w:color="auto"/>
        <w:right w:val="none" w:sz="0" w:space="0" w:color="auto"/>
      </w:divBdr>
      <w:divsChild>
        <w:div w:id="188761758">
          <w:marLeft w:val="0"/>
          <w:marRight w:val="0"/>
          <w:marTop w:val="0"/>
          <w:marBottom w:val="0"/>
          <w:divBdr>
            <w:top w:val="none" w:sz="0" w:space="0" w:color="auto"/>
            <w:left w:val="none" w:sz="0" w:space="0" w:color="auto"/>
            <w:bottom w:val="none" w:sz="0" w:space="0" w:color="auto"/>
            <w:right w:val="none" w:sz="0" w:space="0" w:color="auto"/>
          </w:divBdr>
        </w:div>
        <w:div w:id="836575177">
          <w:marLeft w:val="0"/>
          <w:marRight w:val="0"/>
          <w:marTop w:val="0"/>
          <w:marBottom w:val="0"/>
          <w:divBdr>
            <w:top w:val="none" w:sz="0" w:space="0" w:color="auto"/>
            <w:left w:val="none" w:sz="0" w:space="0" w:color="auto"/>
            <w:bottom w:val="none" w:sz="0" w:space="0" w:color="auto"/>
            <w:right w:val="none" w:sz="0" w:space="0" w:color="auto"/>
          </w:divBdr>
        </w:div>
        <w:div w:id="1277904197">
          <w:marLeft w:val="0"/>
          <w:marRight w:val="0"/>
          <w:marTop w:val="0"/>
          <w:marBottom w:val="0"/>
          <w:divBdr>
            <w:top w:val="none" w:sz="0" w:space="0" w:color="auto"/>
            <w:left w:val="none" w:sz="0" w:space="0" w:color="auto"/>
            <w:bottom w:val="none" w:sz="0" w:space="0" w:color="auto"/>
            <w:right w:val="none" w:sz="0" w:space="0" w:color="auto"/>
          </w:divBdr>
        </w:div>
        <w:div w:id="1886063056">
          <w:marLeft w:val="0"/>
          <w:marRight w:val="0"/>
          <w:marTop w:val="0"/>
          <w:marBottom w:val="0"/>
          <w:divBdr>
            <w:top w:val="none" w:sz="0" w:space="0" w:color="auto"/>
            <w:left w:val="none" w:sz="0" w:space="0" w:color="auto"/>
            <w:bottom w:val="none" w:sz="0" w:space="0" w:color="auto"/>
            <w:right w:val="none" w:sz="0" w:space="0" w:color="auto"/>
          </w:divBdr>
        </w:div>
        <w:div w:id="1887326058">
          <w:marLeft w:val="0"/>
          <w:marRight w:val="0"/>
          <w:marTop w:val="0"/>
          <w:marBottom w:val="0"/>
          <w:divBdr>
            <w:top w:val="none" w:sz="0" w:space="0" w:color="auto"/>
            <w:left w:val="none" w:sz="0" w:space="0" w:color="auto"/>
            <w:bottom w:val="none" w:sz="0" w:space="0" w:color="auto"/>
            <w:right w:val="none" w:sz="0" w:space="0" w:color="auto"/>
          </w:divBdr>
        </w:div>
      </w:divsChild>
    </w:div>
    <w:div w:id="1093402977">
      <w:marLeft w:val="0"/>
      <w:marRight w:val="0"/>
      <w:marTop w:val="0"/>
      <w:marBottom w:val="0"/>
      <w:divBdr>
        <w:top w:val="none" w:sz="0" w:space="0" w:color="auto"/>
        <w:left w:val="none" w:sz="0" w:space="0" w:color="auto"/>
        <w:bottom w:val="none" w:sz="0" w:space="0" w:color="auto"/>
        <w:right w:val="none" w:sz="0" w:space="0" w:color="auto"/>
      </w:divBdr>
      <w:divsChild>
        <w:div w:id="532379815">
          <w:marLeft w:val="0"/>
          <w:marRight w:val="0"/>
          <w:marTop w:val="0"/>
          <w:marBottom w:val="0"/>
          <w:divBdr>
            <w:top w:val="none" w:sz="0" w:space="0" w:color="auto"/>
            <w:left w:val="none" w:sz="0" w:space="0" w:color="auto"/>
            <w:bottom w:val="none" w:sz="0" w:space="0" w:color="auto"/>
            <w:right w:val="none" w:sz="0" w:space="0" w:color="auto"/>
          </w:divBdr>
        </w:div>
      </w:divsChild>
    </w:div>
    <w:div w:id="1099177230">
      <w:bodyDiv w:val="1"/>
      <w:marLeft w:val="0"/>
      <w:marRight w:val="0"/>
      <w:marTop w:val="0"/>
      <w:marBottom w:val="0"/>
      <w:divBdr>
        <w:top w:val="none" w:sz="0" w:space="0" w:color="auto"/>
        <w:left w:val="none" w:sz="0" w:space="0" w:color="auto"/>
        <w:bottom w:val="none" w:sz="0" w:space="0" w:color="auto"/>
        <w:right w:val="none" w:sz="0" w:space="0" w:color="auto"/>
      </w:divBdr>
    </w:div>
    <w:div w:id="1120415876">
      <w:marLeft w:val="0"/>
      <w:marRight w:val="0"/>
      <w:marTop w:val="0"/>
      <w:marBottom w:val="0"/>
      <w:divBdr>
        <w:top w:val="none" w:sz="0" w:space="0" w:color="auto"/>
        <w:left w:val="none" w:sz="0" w:space="0" w:color="auto"/>
        <w:bottom w:val="none" w:sz="0" w:space="0" w:color="auto"/>
        <w:right w:val="none" w:sz="0" w:space="0" w:color="auto"/>
      </w:divBdr>
      <w:divsChild>
        <w:div w:id="1265571773">
          <w:marLeft w:val="0"/>
          <w:marRight w:val="0"/>
          <w:marTop w:val="0"/>
          <w:marBottom w:val="0"/>
          <w:divBdr>
            <w:top w:val="none" w:sz="0" w:space="0" w:color="auto"/>
            <w:left w:val="none" w:sz="0" w:space="0" w:color="auto"/>
            <w:bottom w:val="none" w:sz="0" w:space="0" w:color="auto"/>
            <w:right w:val="none" w:sz="0" w:space="0" w:color="auto"/>
          </w:divBdr>
        </w:div>
      </w:divsChild>
    </w:div>
    <w:div w:id="1146582301">
      <w:marLeft w:val="0"/>
      <w:marRight w:val="0"/>
      <w:marTop w:val="0"/>
      <w:marBottom w:val="0"/>
      <w:divBdr>
        <w:top w:val="none" w:sz="0" w:space="0" w:color="auto"/>
        <w:left w:val="none" w:sz="0" w:space="0" w:color="auto"/>
        <w:bottom w:val="none" w:sz="0" w:space="0" w:color="auto"/>
        <w:right w:val="none" w:sz="0" w:space="0" w:color="auto"/>
      </w:divBdr>
      <w:divsChild>
        <w:div w:id="1909220174">
          <w:marLeft w:val="0"/>
          <w:marRight w:val="0"/>
          <w:marTop w:val="0"/>
          <w:marBottom w:val="0"/>
          <w:divBdr>
            <w:top w:val="none" w:sz="0" w:space="0" w:color="auto"/>
            <w:left w:val="none" w:sz="0" w:space="0" w:color="auto"/>
            <w:bottom w:val="none" w:sz="0" w:space="0" w:color="auto"/>
            <w:right w:val="none" w:sz="0" w:space="0" w:color="auto"/>
          </w:divBdr>
        </w:div>
      </w:divsChild>
    </w:div>
    <w:div w:id="1174031317">
      <w:bodyDiv w:val="1"/>
      <w:marLeft w:val="0"/>
      <w:marRight w:val="0"/>
      <w:marTop w:val="0"/>
      <w:marBottom w:val="0"/>
      <w:divBdr>
        <w:top w:val="none" w:sz="0" w:space="0" w:color="auto"/>
        <w:left w:val="none" w:sz="0" w:space="0" w:color="auto"/>
        <w:bottom w:val="none" w:sz="0" w:space="0" w:color="auto"/>
        <w:right w:val="none" w:sz="0" w:space="0" w:color="auto"/>
      </w:divBdr>
    </w:div>
    <w:div w:id="1192379328">
      <w:marLeft w:val="0"/>
      <w:marRight w:val="0"/>
      <w:marTop w:val="0"/>
      <w:marBottom w:val="0"/>
      <w:divBdr>
        <w:top w:val="none" w:sz="0" w:space="0" w:color="auto"/>
        <w:left w:val="none" w:sz="0" w:space="0" w:color="auto"/>
        <w:bottom w:val="none" w:sz="0" w:space="0" w:color="auto"/>
        <w:right w:val="none" w:sz="0" w:space="0" w:color="auto"/>
      </w:divBdr>
      <w:divsChild>
        <w:div w:id="1631132626">
          <w:marLeft w:val="0"/>
          <w:marRight w:val="0"/>
          <w:marTop w:val="0"/>
          <w:marBottom w:val="0"/>
          <w:divBdr>
            <w:top w:val="none" w:sz="0" w:space="0" w:color="auto"/>
            <w:left w:val="none" w:sz="0" w:space="0" w:color="auto"/>
            <w:bottom w:val="none" w:sz="0" w:space="0" w:color="auto"/>
            <w:right w:val="none" w:sz="0" w:space="0" w:color="auto"/>
          </w:divBdr>
        </w:div>
      </w:divsChild>
    </w:div>
    <w:div w:id="1219978299">
      <w:bodyDiv w:val="1"/>
      <w:marLeft w:val="0"/>
      <w:marRight w:val="0"/>
      <w:marTop w:val="0"/>
      <w:marBottom w:val="0"/>
      <w:divBdr>
        <w:top w:val="none" w:sz="0" w:space="0" w:color="auto"/>
        <w:left w:val="none" w:sz="0" w:space="0" w:color="auto"/>
        <w:bottom w:val="none" w:sz="0" w:space="0" w:color="auto"/>
        <w:right w:val="none" w:sz="0" w:space="0" w:color="auto"/>
      </w:divBdr>
    </w:div>
    <w:div w:id="1227912834">
      <w:bodyDiv w:val="1"/>
      <w:marLeft w:val="0"/>
      <w:marRight w:val="0"/>
      <w:marTop w:val="0"/>
      <w:marBottom w:val="0"/>
      <w:divBdr>
        <w:top w:val="none" w:sz="0" w:space="0" w:color="auto"/>
        <w:left w:val="none" w:sz="0" w:space="0" w:color="auto"/>
        <w:bottom w:val="none" w:sz="0" w:space="0" w:color="auto"/>
        <w:right w:val="none" w:sz="0" w:space="0" w:color="auto"/>
      </w:divBdr>
    </w:div>
    <w:div w:id="1229077625">
      <w:bodyDiv w:val="1"/>
      <w:marLeft w:val="0"/>
      <w:marRight w:val="0"/>
      <w:marTop w:val="0"/>
      <w:marBottom w:val="0"/>
      <w:divBdr>
        <w:top w:val="none" w:sz="0" w:space="0" w:color="auto"/>
        <w:left w:val="none" w:sz="0" w:space="0" w:color="auto"/>
        <w:bottom w:val="none" w:sz="0" w:space="0" w:color="auto"/>
        <w:right w:val="none" w:sz="0" w:space="0" w:color="auto"/>
      </w:divBdr>
    </w:div>
    <w:div w:id="1241332222">
      <w:marLeft w:val="0"/>
      <w:marRight w:val="0"/>
      <w:marTop w:val="0"/>
      <w:marBottom w:val="0"/>
      <w:divBdr>
        <w:top w:val="none" w:sz="0" w:space="0" w:color="auto"/>
        <w:left w:val="none" w:sz="0" w:space="0" w:color="auto"/>
        <w:bottom w:val="none" w:sz="0" w:space="0" w:color="auto"/>
        <w:right w:val="none" w:sz="0" w:space="0" w:color="auto"/>
      </w:divBdr>
      <w:divsChild>
        <w:div w:id="1400664607">
          <w:marLeft w:val="0"/>
          <w:marRight w:val="0"/>
          <w:marTop w:val="0"/>
          <w:marBottom w:val="0"/>
          <w:divBdr>
            <w:top w:val="none" w:sz="0" w:space="0" w:color="auto"/>
            <w:left w:val="none" w:sz="0" w:space="0" w:color="auto"/>
            <w:bottom w:val="none" w:sz="0" w:space="0" w:color="auto"/>
            <w:right w:val="none" w:sz="0" w:space="0" w:color="auto"/>
          </w:divBdr>
        </w:div>
      </w:divsChild>
    </w:div>
    <w:div w:id="1244683482">
      <w:marLeft w:val="0"/>
      <w:marRight w:val="0"/>
      <w:marTop w:val="0"/>
      <w:marBottom w:val="0"/>
      <w:divBdr>
        <w:top w:val="none" w:sz="0" w:space="0" w:color="auto"/>
        <w:left w:val="none" w:sz="0" w:space="0" w:color="auto"/>
        <w:bottom w:val="none" w:sz="0" w:space="0" w:color="auto"/>
        <w:right w:val="none" w:sz="0" w:space="0" w:color="auto"/>
      </w:divBdr>
      <w:divsChild>
        <w:div w:id="1144157040">
          <w:marLeft w:val="0"/>
          <w:marRight w:val="0"/>
          <w:marTop w:val="0"/>
          <w:marBottom w:val="0"/>
          <w:divBdr>
            <w:top w:val="none" w:sz="0" w:space="0" w:color="auto"/>
            <w:left w:val="none" w:sz="0" w:space="0" w:color="auto"/>
            <w:bottom w:val="none" w:sz="0" w:space="0" w:color="auto"/>
            <w:right w:val="none" w:sz="0" w:space="0" w:color="auto"/>
          </w:divBdr>
        </w:div>
      </w:divsChild>
    </w:div>
    <w:div w:id="1288008699">
      <w:marLeft w:val="0"/>
      <w:marRight w:val="0"/>
      <w:marTop w:val="0"/>
      <w:marBottom w:val="0"/>
      <w:divBdr>
        <w:top w:val="none" w:sz="0" w:space="0" w:color="auto"/>
        <w:left w:val="none" w:sz="0" w:space="0" w:color="auto"/>
        <w:bottom w:val="none" w:sz="0" w:space="0" w:color="auto"/>
        <w:right w:val="none" w:sz="0" w:space="0" w:color="auto"/>
      </w:divBdr>
      <w:divsChild>
        <w:div w:id="1661152027">
          <w:marLeft w:val="0"/>
          <w:marRight w:val="0"/>
          <w:marTop w:val="0"/>
          <w:marBottom w:val="0"/>
          <w:divBdr>
            <w:top w:val="none" w:sz="0" w:space="0" w:color="auto"/>
            <w:left w:val="none" w:sz="0" w:space="0" w:color="auto"/>
            <w:bottom w:val="none" w:sz="0" w:space="0" w:color="auto"/>
            <w:right w:val="none" w:sz="0" w:space="0" w:color="auto"/>
          </w:divBdr>
        </w:div>
      </w:divsChild>
    </w:div>
    <w:div w:id="1294674260">
      <w:marLeft w:val="0"/>
      <w:marRight w:val="0"/>
      <w:marTop w:val="0"/>
      <w:marBottom w:val="0"/>
      <w:divBdr>
        <w:top w:val="none" w:sz="0" w:space="0" w:color="auto"/>
        <w:left w:val="none" w:sz="0" w:space="0" w:color="auto"/>
        <w:bottom w:val="none" w:sz="0" w:space="0" w:color="auto"/>
        <w:right w:val="none" w:sz="0" w:space="0" w:color="auto"/>
      </w:divBdr>
      <w:divsChild>
        <w:div w:id="1189441552">
          <w:marLeft w:val="0"/>
          <w:marRight w:val="0"/>
          <w:marTop w:val="0"/>
          <w:marBottom w:val="0"/>
          <w:divBdr>
            <w:top w:val="none" w:sz="0" w:space="0" w:color="auto"/>
            <w:left w:val="none" w:sz="0" w:space="0" w:color="auto"/>
            <w:bottom w:val="none" w:sz="0" w:space="0" w:color="auto"/>
            <w:right w:val="none" w:sz="0" w:space="0" w:color="auto"/>
          </w:divBdr>
        </w:div>
      </w:divsChild>
    </w:div>
    <w:div w:id="1309752051">
      <w:marLeft w:val="0"/>
      <w:marRight w:val="0"/>
      <w:marTop w:val="0"/>
      <w:marBottom w:val="0"/>
      <w:divBdr>
        <w:top w:val="none" w:sz="0" w:space="0" w:color="auto"/>
        <w:left w:val="none" w:sz="0" w:space="0" w:color="auto"/>
        <w:bottom w:val="none" w:sz="0" w:space="0" w:color="auto"/>
        <w:right w:val="none" w:sz="0" w:space="0" w:color="auto"/>
      </w:divBdr>
      <w:divsChild>
        <w:div w:id="1876187965">
          <w:marLeft w:val="0"/>
          <w:marRight w:val="0"/>
          <w:marTop w:val="0"/>
          <w:marBottom w:val="0"/>
          <w:divBdr>
            <w:top w:val="none" w:sz="0" w:space="0" w:color="auto"/>
            <w:left w:val="none" w:sz="0" w:space="0" w:color="auto"/>
            <w:bottom w:val="none" w:sz="0" w:space="0" w:color="auto"/>
            <w:right w:val="none" w:sz="0" w:space="0" w:color="auto"/>
          </w:divBdr>
        </w:div>
      </w:divsChild>
    </w:div>
    <w:div w:id="1326275027">
      <w:marLeft w:val="0"/>
      <w:marRight w:val="0"/>
      <w:marTop w:val="0"/>
      <w:marBottom w:val="0"/>
      <w:divBdr>
        <w:top w:val="none" w:sz="0" w:space="0" w:color="auto"/>
        <w:left w:val="none" w:sz="0" w:space="0" w:color="auto"/>
        <w:bottom w:val="none" w:sz="0" w:space="0" w:color="auto"/>
        <w:right w:val="none" w:sz="0" w:space="0" w:color="auto"/>
      </w:divBdr>
      <w:divsChild>
        <w:div w:id="1282372364">
          <w:marLeft w:val="0"/>
          <w:marRight w:val="0"/>
          <w:marTop w:val="0"/>
          <w:marBottom w:val="0"/>
          <w:divBdr>
            <w:top w:val="none" w:sz="0" w:space="0" w:color="auto"/>
            <w:left w:val="none" w:sz="0" w:space="0" w:color="auto"/>
            <w:bottom w:val="none" w:sz="0" w:space="0" w:color="auto"/>
            <w:right w:val="none" w:sz="0" w:space="0" w:color="auto"/>
          </w:divBdr>
        </w:div>
      </w:divsChild>
    </w:div>
    <w:div w:id="1330643557">
      <w:bodyDiv w:val="1"/>
      <w:marLeft w:val="0"/>
      <w:marRight w:val="0"/>
      <w:marTop w:val="0"/>
      <w:marBottom w:val="0"/>
      <w:divBdr>
        <w:top w:val="none" w:sz="0" w:space="0" w:color="auto"/>
        <w:left w:val="none" w:sz="0" w:space="0" w:color="auto"/>
        <w:bottom w:val="none" w:sz="0" w:space="0" w:color="auto"/>
        <w:right w:val="none" w:sz="0" w:space="0" w:color="auto"/>
      </w:divBdr>
    </w:div>
    <w:div w:id="1456214751">
      <w:marLeft w:val="0"/>
      <w:marRight w:val="0"/>
      <w:marTop w:val="0"/>
      <w:marBottom w:val="0"/>
      <w:divBdr>
        <w:top w:val="none" w:sz="0" w:space="0" w:color="auto"/>
        <w:left w:val="none" w:sz="0" w:space="0" w:color="auto"/>
        <w:bottom w:val="none" w:sz="0" w:space="0" w:color="auto"/>
        <w:right w:val="none" w:sz="0" w:space="0" w:color="auto"/>
      </w:divBdr>
      <w:divsChild>
        <w:div w:id="93673203">
          <w:marLeft w:val="0"/>
          <w:marRight w:val="0"/>
          <w:marTop w:val="0"/>
          <w:marBottom w:val="0"/>
          <w:divBdr>
            <w:top w:val="none" w:sz="0" w:space="0" w:color="auto"/>
            <w:left w:val="none" w:sz="0" w:space="0" w:color="auto"/>
            <w:bottom w:val="none" w:sz="0" w:space="0" w:color="auto"/>
            <w:right w:val="none" w:sz="0" w:space="0" w:color="auto"/>
          </w:divBdr>
        </w:div>
      </w:divsChild>
    </w:div>
    <w:div w:id="1519735180">
      <w:marLeft w:val="0"/>
      <w:marRight w:val="0"/>
      <w:marTop w:val="0"/>
      <w:marBottom w:val="0"/>
      <w:divBdr>
        <w:top w:val="none" w:sz="0" w:space="0" w:color="auto"/>
        <w:left w:val="none" w:sz="0" w:space="0" w:color="auto"/>
        <w:bottom w:val="none" w:sz="0" w:space="0" w:color="auto"/>
        <w:right w:val="none" w:sz="0" w:space="0" w:color="auto"/>
      </w:divBdr>
      <w:divsChild>
        <w:div w:id="1966808235">
          <w:marLeft w:val="0"/>
          <w:marRight w:val="0"/>
          <w:marTop w:val="0"/>
          <w:marBottom w:val="0"/>
          <w:divBdr>
            <w:top w:val="none" w:sz="0" w:space="0" w:color="auto"/>
            <w:left w:val="none" w:sz="0" w:space="0" w:color="auto"/>
            <w:bottom w:val="none" w:sz="0" w:space="0" w:color="auto"/>
            <w:right w:val="none" w:sz="0" w:space="0" w:color="auto"/>
          </w:divBdr>
        </w:div>
      </w:divsChild>
    </w:div>
    <w:div w:id="1524123932">
      <w:bodyDiv w:val="1"/>
      <w:marLeft w:val="0"/>
      <w:marRight w:val="0"/>
      <w:marTop w:val="0"/>
      <w:marBottom w:val="0"/>
      <w:divBdr>
        <w:top w:val="none" w:sz="0" w:space="0" w:color="auto"/>
        <w:left w:val="none" w:sz="0" w:space="0" w:color="auto"/>
        <w:bottom w:val="none" w:sz="0" w:space="0" w:color="auto"/>
        <w:right w:val="none" w:sz="0" w:space="0" w:color="auto"/>
      </w:divBdr>
    </w:div>
    <w:div w:id="1569421163">
      <w:marLeft w:val="0"/>
      <w:marRight w:val="0"/>
      <w:marTop w:val="0"/>
      <w:marBottom w:val="0"/>
      <w:divBdr>
        <w:top w:val="none" w:sz="0" w:space="0" w:color="auto"/>
        <w:left w:val="none" w:sz="0" w:space="0" w:color="auto"/>
        <w:bottom w:val="none" w:sz="0" w:space="0" w:color="auto"/>
        <w:right w:val="none" w:sz="0" w:space="0" w:color="auto"/>
      </w:divBdr>
      <w:divsChild>
        <w:div w:id="2004432635">
          <w:marLeft w:val="0"/>
          <w:marRight w:val="0"/>
          <w:marTop w:val="0"/>
          <w:marBottom w:val="0"/>
          <w:divBdr>
            <w:top w:val="none" w:sz="0" w:space="0" w:color="auto"/>
            <w:left w:val="none" w:sz="0" w:space="0" w:color="auto"/>
            <w:bottom w:val="none" w:sz="0" w:space="0" w:color="auto"/>
            <w:right w:val="none" w:sz="0" w:space="0" w:color="auto"/>
          </w:divBdr>
        </w:div>
      </w:divsChild>
    </w:div>
    <w:div w:id="1600601835">
      <w:bodyDiv w:val="1"/>
      <w:marLeft w:val="0"/>
      <w:marRight w:val="0"/>
      <w:marTop w:val="0"/>
      <w:marBottom w:val="0"/>
      <w:divBdr>
        <w:top w:val="none" w:sz="0" w:space="0" w:color="auto"/>
        <w:left w:val="none" w:sz="0" w:space="0" w:color="auto"/>
        <w:bottom w:val="none" w:sz="0" w:space="0" w:color="auto"/>
        <w:right w:val="none" w:sz="0" w:space="0" w:color="auto"/>
      </w:divBdr>
    </w:div>
    <w:div w:id="1614705848">
      <w:bodyDiv w:val="1"/>
      <w:marLeft w:val="0"/>
      <w:marRight w:val="0"/>
      <w:marTop w:val="0"/>
      <w:marBottom w:val="0"/>
      <w:divBdr>
        <w:top w:val="none" w:sz="0" w:space="0" w:color="auto"/>
        <w:left w:val="none" w:sz="0" w:space="0" w:color="auto"/>
        <w:bottom w:val="none" w:sz="0" w:space="0" w:color="auto"/>
        <w:right w:val="none" w:sz="0" w:space="0" w:color="auto"/>
      </w:divBdr>
    </w:div>
    <w:div w:id="1617103014">
      <w:marLeft w:val="0"/>
      <w:marRight w:val="0"/>
      <w:marTop w:val="0"/>
      <w:marBottom w:val="0"/>
      <w:divBdr>
        <w:top w:val="none" w:sz="0" w:space="0" w:color="auto"/>
        <w:left w:val="none" w:sz="0" w:space="0" w:color="auto"/>
        <w:bottom w:val="none" w:sz="0" w:space="0" w:color="auto"/>
        <w:right w:val="none" w:sz="0" w:space="0" w:color="auto"/>
      </w:divBdr>
      <w:divsChild>
        <w:div w:id="425006911">
          <w:marLeft w:val="0"/>
          <w:marRight w:val="0"/>
          <w:marTop w:val="0"/>
          <w:marBottom w:val="0"/>
          <w:divBdr>
            <w:top w:val="none" w:sz="0" w:space="0" w:color="auto"/>
            <w:left w:val="none" w:sz="0" w:space="0" w:color="auto"/>
            <w:bottom w:val="none" w:sz="0" w:space="0" w:color="auto"/>
            <w:right w:val="none" w:sz="0" w:space="0" w:color="auto"/>
          </w:divBdr>
        </w:div>
      </w:divsChild>
    </w:div>
    <w:div w:id="1638488860">
      <w:marLeft w:val="0"/>
      <w:marRight w:val="0"/>
      <w:marTop w:val="0"/>
      <w:marBottom w:val="0"/>
      <w:divBdr>
        <w:top w:val="none" w:sz="0" w:space="0" w:color="auto"/>
        <w:left w:val="none" w:sz="0" w:space="0" w:color="auto"/>
        <w:bottom w:val="none" w:sz="0" w:space="0" w:color="auto"/>
        <w:right w:val="none" w:sz="0" w:space="0" w:color="auto"/>
      </w:divBdr>
      <w:divsChild>
        <w:div w:id="1189760418">
          <w:marLeft w:val="0"/>
          <w:marRight w:val="0"/>
          <w:marTop w:val="0"/>
          <w:marBottom w:val="0"/>
          <w:divBdr>
            <w:top w:val="none" w:sz="0" w:space="0" w:color="auto"/>
            <w:left w:val="none" w:sz="0" w:space="0" w:color="auto"/>
            <w:bottom w:val="none" w:sz="0" w:space="0" w:color="auto"/>
            <w:right w:val="none" w:sz="0" w:space="0" w:color="auto"/>
          </w:divBdr>
        </w:div>
      </w:divsChild>
    </w:div>
    <w:div w:id="1667367889">
      <w:marLeft w:val="0"/>
      <w:marRight w:val="0"/>
      <w:marTop w:val="0"/>
      <w:marBottom w:val="0"/>
      <w:divBdr>
        <w:top w:val="none" w:sz="0" w:space="0" w:color="auto"/>
        <w:left w:val="none" w:sz="0" w:space="0" w:color="auto"/>
        <w:bottom w:val="none" w:sz="0" w:space="0" w:color="auto"/>
        <w:right w:val="none" w:sz="0" w:space="0" w:color="auto"/>
      </w:divBdr>
      <w:divsChild>
        <w:div w:id="198249449">
          <w:marLeft w:val="0"/>
          <w:marRight w:val="0"/>
          <w:marTop w:val="0"/>
          <w:marBottom w:val="0"/>
          <w:divBdr>
            <w:top w:val="none" w:sz="0" w:space="0" w:color="auto"/>
            <w:left w:val="none" w:sz="0" w:space="0" w:color="auto"/>
            <w:bottom w:val="none" w:sz="0" w:space="0" w:color="auto"/>
            <w:right w:val="none" w:sz="0" w:space="0" w:color="auto"/>
          </w:divBdr>
        </w:div>
      </w:divsChild>
    </w:div>
    <w:div w:id="1698265285">
      <w:marLeft w:val="0"/>
      <w:marRight w:val="0"/>
      <w:marTop w:val="0"/>
      <w:marBottom w:val="0"/>
      <w:divBdr>
        <w:top w:val="none" w:sz="0" w:space="0" w:color="auto"/>
        <w:left w:val="none" w:sz="0" w:space="0" w:color="auto"/>
        <w:bottom w:val="none" w:sz="0" w:space="0" w:color="auto"/>
        <w:right w:val="none" w:sz="0" w:space="0" w:color="auto"/>
      </w:divBdr>
      <w:divsChild>
        <w:div w:id="1313221638">
          <w:marLeft w:val="0"/>
          <w:marRight w:val="0"/>
          <w:marTop w:val="0"/>
          <w:marBottom w:val="0"/>
          <w:divBdr>
            <w:top w:val="none" w:sz="0" w:space="0" w:color="auto"/>
            <w:left w:val="none" w:sz="0" w:space="0" w:color="auto"/>
            <w:bottom w:val="none" w:sz="0" w:space="0" w:color="auto"/>
            <w:right w:val="none" w:sz="0" w:space="0" w:color="auto"/>
          </w:divBdr>
        </w:div>
      </w:divsChild>
    </w:div>
    <w:div w:id="1709716023">
      <w:bodyDiv w:val="1"/>
      <w:marLeft w:val="0"/>
      <w:marRight w:val="0"/>
      <w:marTop w:val="0"/>
      <w:marBottom w:val="0"/>
      <w:divBdr>
        <w:top w:val="none" w:sz="0" w:space="0" w:color="auto"/>
        <w:left w:val="none" w:sz="0" w:space="0" w:color="auto"/>
        <w:bottom w:val="none" w:sz="0" w:space="0" w:color="auto"/>
        <w:right w:val="none" w:sz="0" w:space="0" w:color="auto"/>
      </w:divBdr>
    </w:div>
    <w:div w:id="1718312398">
      <w:marLeft w:val="0"/>
      <w:marRight w:val="0"/>
      <w:marTop w:val="0"/>
      <w:marBottom w:val="0"/>
      <w:divBdr>
        <w:top w:val="none" w:sz="0" w:space="0" w:color="auto"/>
        <w:left w:val="none" w:sz="0" w:space="0" w:color="auto"/>
        <w:bottom w:val="none" w:sz="0" w:space="0" w:color="auto"/>
        <w:right w:val="none" w:sz="0" w:space="0" w:color="auto"/>
      </w:divBdr>
      <w:divsChild>
        <w:div w:id="432215344">
          <w:marLeft w:val="0"/>
          <w:marRight w:val="0"/>
          <w:marTop w:val="0"/>
          <w:marBottom w:val="0"/>
          <w:divBdr>
            <w:top w:val="none" w:sz="0" w:space="0" w:color="auto"/>
            <w:left w:val="none" w:sz="0" w:space="0" w:color="auto"/>
            <w:bottom w:val="none" w:sz="0" w:space="0" w:color="auto"/>
            <w:right w:val="none" w:sz="0" w:space="0" w:color="auto"/>
          </w:divBdr>
        </w:div>
      </w:divsChild>
    </w:div>
    <w:div w:id="1831868440">
      <w:marLeft w:val="0"/>
      <w:marRight w:val="0"/>
      <w:marTop w:val="0"/>
      <w:marBottom w:val="0"/>
      <w:divBdr>
        <w:top w:val="none" w:sz="0" w:space="0" w:color="auto"/>
        <w:left w:val="none" w:sz="0" w:space="0" w:color="auto"/>
        <w:bottom w:val="none" w:sz="0" w:space="0" w:color="auto"/>
        <w:right w:val="none" w:sz="0" w:space="0" w:color="auto"/>
      </w:divBdr>
      <w:divsChild>
        <w:div w:id="155613666">
          <w:marLeft w:val="0"/>
          <w:marRight w:val="0"/>
          <w:marTop w:val="0"/>
          <w:marBottom w:val="0"/>
          <w:divBdr>
            <w:top w:val="none" w:sz="0" w:space="0" w:color="auto"/>
            <w:left w:val="none" w:sz="0" w:space="0" w:color="auto"/>
            <w:bottom w:val="none" w:sz="0" w:space="0" w:color="auto"/>
            <w:right w:val="none" w:sz="0" w:space="0" w:color="auto"/>
          </w:divBdr>
        </w:div>
      </w:divsChild>
    </w:div>
    <w:div w:id="1849323938">
      <w:bodyDiv w:val="1"/>
      <w:marLeft w:val="0"/>
      <w:marRight w:val="0"/>
      <w:marTop w:val="0"/>
      <w:marBottom w:val="0"/>
      <w:divBdr>
        <w:top w:val="none" w:sz="0" w:space="0" w:color="auto"/>
        <w:left w:val="none" w:sz="0" w:space="0" w:color="auto"/>
        <w:bottom w:val="none" w:sz="0" w:space="0" w:color="auto"/>
        <w:right w:val="none" w:sz="0" w:space="0" w:color="auto"/>
      </w:divBdr>
      <w:divsChild>
        <w:div w:id="795829203">
          <w:marLeft w:val="0"/>
          <w:marRight w:val="0"/>
          <w:marTop w:val="0"/>
          <w:marBottom w:val="0"/>
          <w:divBdr>
            <w:top w:val="none" w:sz="0" w:space="0" w:color="auto"/>
            <w:left w:val="none" w:sz="0" w:space="0" w:color="auto"/>
            <w:bottom w:val="none" w:sz="0" w:space="0" w:color="auto"/>
            <w:right w:val="none" w:sz="0" w:space="0" w:color="auto"/>
          </w:divBdr>
        </w:div>
        <w:div w:id="1092775610">
          <w:marLeft w:val="0"/>
          <w:marRight w:val="0"/>
          <w:marTop w:val="0"/>
          <w:marBottom w:val="0"/>
          <w:divBdr>
            <w:top w:val="none" w:sz="0" w:space="0" w:color="auto"/>
            <w:left w:val="none" w:sz="0" w:space="0" w:color="auto"/>
            <w:bottom w:val="none" w:sz="0" w:space="0" w:color="auto"/>
            <w:right w:val="none" w:sz="0" w:space="0" w:color="auto"/>
          </w:divBdr>
        </w:div>
        <w:div w:id="1232732422">
          <w:marLeft w:val="0"/>
          <w:marRight w:val="0"/>
          <w:marTop w:val="0"/>
          <w:marBottom w:val="0"/>
          <w:divBdr>
            <w:top w:val="none" w:sz="0" w:space="0" w:color="auto"/>
            <w:left w:val="none" w:sz="0" w:space="0" w:color="auto"/>
            <w:bottom w:val="none" w:sz="0" w:space="0" w:color="auto"/>
            <w:right w:val="none" w:sz="0" w:space="0" w:color="auto"/>
          </w:divBdr>
        </w:div>
      </w:divsChild>
    </w:div>
    <w:div w:id="1867015586">
      <w:marLeft w:val="0"/>
      <w:marRight w:val="0"/>
      <w:marTop w:val="0"/>
      <w:marBottom w:val="0"/>
      <w:divBdr>
        <w:top w:val="none" w:sz="0" w:space="0" w:color="auto"/>
        <w:left w:val="none" w:sz="0" w:space="0" w:color="auto"/>
        <w:bottom w:val="none" w:sz="0" w:space="0" w:color="auto"/>
        <w:right w:val="none" w:sz="0" w:space="0" w:color="auto"/>
      </w:divBdr>
      <w:divsChild>
        <w:div w:id="1786269047">
          <w:marLeft w:val="0"/>
          <w:marRight w:val="0"/>
          <w:marTop w:val="0"/>
          <w:marBottom w:val="0"/>
          <w:divBdr>
            <w:top w:val="none" w:sz="0" w:space="0" w:color="auto"/>
            <w:left w:val="none" w:sz="0" w:space="0" w:color="auto"/>
            <w:bottom w:val="none" w:sz="0" w:space="0" w:color="auto"/>
            <w:right w:val="none" w:sz="0" w:space="0" w:color="auto"/>
          </w:divBdr>
        </w:div>
      </w:divsChild>
    </w:div>
    <w:div w:id="1873109338">
      <w:bodyDiv w:val="1"/>
      <w:marLeft w:val="0"/>
      <w:marRight w:val="0"/>
      <w:marTop w:val="0"/>
      <w:marBottom w:val="0"/>
      <w:divBdr>
        <w:top w:val="none" w:sz="0" w:space="0" w:color="auto"/>
        <w:left w:val="none" w:sz="0" w:space="0" w:color="auto"/>
        <w:bottom w:val="none" w:sz="0" w:space="0" w:color="auto"/>
        <w:right w:val="none" w:sz="0" w:space="0" w:color="auto"/>
      </w:divBdr>
    </w:div>
    <w:div w:id="1885364066">
      <w:marLeft w:val="0"/>
      <w:marRight w:val="0"/>
      <w:marTop w:val="0"/>
      <w:marBottom w:val="0"/>
      <w:divBdr>
        <w:top w:val="none" w:sz="0" w:space="0" w:color="auto"/>
        <w:left w:val="none" w:sz="0" w:space="0" w:color="auto"/>
        <w:bottom w:val="none" w:sz="0" w:space="0" w:color="auto"/>
        <w:right w:val="none" w:sz="0" w:space="0" w:color="auto"/>
      </w:divBdr>
      <w:divsChild>
        <w:div w:id="468985631">
          <w:marLeft w:val="0"/>
          <w:marRight w:val="0"/>
          <w:marTop w:val="0"/>
          <w:marBottom w:val="0"/>
          <w:divBdr>
            <w:top w:val="none" w:sz="0" w:space="0" w:color="auto"/>
            <w:left w:val="none" w:sz="0" w:space="0" w:color="auto"/>
            <w:bottom w:val="none" w:sz="0" w:space="0" w:color="auto"/>
            <w:right w:val="none" w:sz="0" w:space="0" w:color="auto"/>
          </w:divBdr>
        </w:div>
      </w:divsChild>
    </w:div>
    <w:div w:id="1972783414">
      <w:marLeft w:val="0"/>
      <w:marRight w:val="0"/>
      <w:marTop w:val="0"/>
      <w:marBottom w:val="0"/>
      <w:divBdr>
        <w:top w:val="none" w:sz="0" w:space="0" w:color="auto"/>
        <w:left w:val="none" w:sz="0" w:space="0" w:color="auto"/>
        <w:bottom w:val="none" w:sz="0" w:space="0" w:color="auto"/>
        <w:right w:val="none" w:sz="0" w:space="0" w:color="auto"/>
      </w:divBdr>
      <w:divsChild>
        <w:div w:id="534121499">
          <w:marLeft w:val="0"/>
          <w:marRight w:val="0"/>
          <w:marTop w:val="0"/>
          <w:marBottom w:val="0"/>
          <w:divBdr>
            <w:top w:val="none" w:sz="0" w:space="0" w:color="auto"/>
            <w:left w:val="none" w:sz="0" w:space="0" w:color="auto"/>
            <w:bottom w:val="none" w:sz="0" w:space="0" w:color="auto"/>
            <w:right w:val="none" w:sz="0" w:space="0" w:color="auto"/>
          </w:divBdr>
        </w:div>
      </w:divsChild>
    </w:div>
    <w:div w:id="1975480980">
      <w:bodyDiv w:val="1"/>
      <w:marLeft w:val="0"/>
      <w:marRight w:val="0"/>
      <w:marTop w:val="0"/>
      <w:marBottom w:val="0"/>
      <w:divBdr>
        <w:top w:val="none" w:sz="0" w:space="0" w:color="auto"/>
        <w:left w:val="none" w:sz="0" w:space="0" w:color="auto"/>
        <w:bottom w:val="none" w:sz="0" w:space="0" w:color="auto"/>
        <w:right w:val="none" w:sz="0" w:space="0" w:color="auto"/>
      </w:divBdr>
    </w:div>
    <w:div w:id="2012022538">
      <w:marLeft w:val="0"/>
      <w:marRight w:val="0"/>
      <w:marTop w:val="0"/>
      <w:marBottom w:val="0"/>
      <w:divBdr>
        <w:top w:val="none" w:sz="0" w:space="0" w:color="auto"/>
        <w:left w:val="none" w:sz="0" w:space="0" w:color="auto"/>
        <w:bottom w:val="none" w:sz="0" w:space="0" w:color="auto"/>
        <w:right w:val="none" w:sz="0" w:space="0" w:color="auto"/>
      </w:divBdr>
      <w:divsChild>
        <w:div w:id="125858163">
          <w:marLeft w:val="0"/>
          <w:marRight w:val="0"/>
          <w:marTop w:val="0"/>
          <w:marBottom w:val="0"/>
          <w:divBdr>
            <w:top w:val="none" w:sz="0" w:space="0" w:color="auto"/>
            <w:left w:val="none" w:sz="0" w:space="0" w:color="auto"/>
            <w:bottom w:val="none" w:sz="0" w:space="0" w:color="auto"/>
            <w:right w:val="none" w:sz="0" w:space="0" w:color="auto"/>
          </w:divBdr>
        </w:div>
      </w:divsChild>
    </w:div>
    <w:div w:id="2013873281">
      <w:marLeft w:val="0"/>
      <w:marRight w:val="0"/>
      <w:marTop w:val="0"/>
      <w:marBottom w:val="0"/>
      <w:divBdr>
        <w:top w:val="none" w:sz="0" w:space="0" w:color="auto"/>
        <w:left w:val="none" w:sz="0" w:space="0" w:color="auto"/>
        <w:bottom w:val="none" w:sz="0" w:space="0" w:color="auto"/>
        <w:right w:val="none" w:sz="0" w:space="0" w:color="auto"/>
      </w:divBdr>
      <w:divsChild>
        <w:div w:id="675116013">
          <w:marLeft w:val="0"/>
          <w:marRight w:val="0"/>
          <w:marTop w:val="0"/>
          <w:marBottom w:val="0"/>
          <w:divBdr>
            <w:top w:val="none" w:sz="0" w:space="0" w:color="auto"/>
            <w:left w:val="none" w:sz="0" w:space="0" w:color="auto"/>
            <w:bottom w:val="none" w:sz="0" w:space="0" w:color="auto"/>
            <w:right w:val="none" w:sz="0" w:space="0" w:color="auto"/>
          </w:divBdr>
        </w:div>
      </w:divsChild>
    </w:div>
    <w:div w:id="2024162678">
      <w:marLeft w:val="0"/>
      <w:marRight w:val="0"/>
      <w:marTop w:val="0"/>
      <w:marBottom w:val="0"/>
      <w:divBdr>
        <w:top w:val="none" w:sz="0" w:space="0" w:color="auto"/>
        <w:left w:val="none" w:sz="0" w:space="0" w:color="auto"/>
        <w:bottom w:val="none" w:sz="0" w:space="0" w:color="auto"/>
        <w:right w:val="none" w:sz="0" w:space="0" w:color="auto"/>
      </w:divBdr>
      <w:divsChild>
        <w:div w:id="744913658">
          <w:marLeft w:val="0"/>
          <w:marRight w:val="0"/>
          <w:marTop w:val="0"/>
          <w:marBottom w:val="0"/>
          <w:divBdr>
            <w:top w:val="none" w:sz="0" w:space="0" w:color="auto"/>
            <w:left w:val="none" w:sz="0" w:space="0" w:color="auto"/>
            <w:bottom w:val="none" w:sz="0" w:space="0" w:color="auto"/>
            <w:right w:val="none" w:sz="0" w:space="0" w:color="auto"/>
          </w:divBdr>
        </w:div>
      </w:divsChild>
    </w:div>
    <w:div w:id="2044741270">
      <w:bodyDiv w:val="1"/>
      <w:marLeft w:val="0"/>
      <w:marRight w:val="0"/>
      <w:marTop w:val="0"/>
      <w:marBottom w:val="0"/>
      <w:divBdr>
        <w:top w:val="none" w:sz="0" w:space="0" w:color="auto"/>
        <w:left w:val="none" w:sz="0" w:space="0" w:color="auto"/>
        <w:bottom w:val="none" w:sz="0" w:space="0" w:color="auto"/>
        <w:right w:val="none" w:sz="0" w:space="0" w:color="auto"/>
      </w:divBdr>
    </w:div>
    <w:div w:id="2049797962">
      <w:bodyDiv w:val="1"/>
      <w:marLeft w:val="0"/>
      <w:marRight w:val="0"/>
      <w:marTop w:val="0"/>
      <w:marBottom w:val="0"/>
      <w:divBdr>
        <w:top w:val="none" w:sz="0" w:space="0" w:color="auto"/>
        <w:left w:val="none" w:sz="0" w:space="0" w:color="auto"/>
        <w:bottom w:val="none" w:sz="0" w:space="0" w:color="auto"/>
        <w:right w:val="none" w:sz="0" w:space="0" w:color="auto"/>
      </w:divBdr>
    </w:div>
    <w:div w:id="2063746274">
      <w:bodyDiv w:val="1"/>
      <w:marLeft w:val="0"/>
      <w:marRight w:val="0"/>
      <w:marTop w:val="0"/>
      <w:marBottom w:val="0"/>
      <w:divBdr>
        <w:top w:val="none" w:sz="0" w:space="0" w:color="auto"/>
        <w:left w:val="none" w:sz="0" w:space="0" w:color="auto"/>
        <w:bottom w:val="none" w:sz="0" w:space="0" w:color="auto"/>
        <w:right w:val="none" w:sz="0" w:space="0" w:color="auto"/>
      </w:divBdr>
    </w:div>
    <w:div w:id="2079742717">
      <w:marLeft w:val="0"/>
      <w:marRight w:val="0"/>
      <w:marTop w:val="0"/>
      <w:marBottom w:val="0"/>
      <w:divBdr>
        <w:top w:val="none" w:sz="0" w:space="0" w:color="auto"/>
        <w:left w:val="none" w:sz="0" w:space="0" w:color="auto"/>
        <w:bottom w:val="none" w:sz="0" w:space="0" w:color="auto"/>
        <w:right w:val="none" w:sz="0" w:space="0" w:color="auto"/>
      </w:divBdr>
      <w:divsChild>
        <w:div w:id="1569805885">
          <w:marLeft w:val="0"/>
          <w:marRight w:val="0"/>
          <w:marTop w:val="0"/>
          <w:marBottom w:val="0"/>
          <w:divBdr>
            <w:top w:val="none" w:sz="0" w:space="0" w:color="auto"/>
            <w:left w:val="none" w:sz="0" w:space="0" w:color="auto"/>
            <w:bottom w:val="none" w:sz="0" w:space="0" w:color="auto"/>
            <w:right w:val="none" w:sz="0" w:space="0" w:color="auto"/>
          </w:divBdr>
        </w:div>
      </w:divsChild>
    </w:div>
    <w:div w:id="2093307794">
      <w:bodyDiv w:val="1"/>
      <w:marLeft w:val="0"/>
      <w:marRight w:val="0"/>
      <w:marTop w:val="0"/>
      <w:marBottom w:val="0"/>
      <w:divBdr>
        <w:top w:val="none" w:sz="0" w:space="0" w:color="auto"/>
        <w:left w:val="none" w:sz="0" w:space="0" w:color="auto"/>
        <w:bottom w:val="none" w:sz="0" w:space="0" w:color="auto"/>
        <w:right w:val="none" w:sz="0" w:space="0" w:color="auto"/>
      </w:divBdr>
    </w:div>
    <w:div w:id="2106917759">
      <w:bodyDiv w:val="1"/>
      <w:marLeft w:val="0"/>
      <w:marRight w:val="0"/>
      <w:marTop w:val="0"/>
      <w:marBottom w:val="0"/>
      <w:divBdr>
        <w:top w:val="none" w:sz="0" w:space="0" w:color="auto"/>
        <w:left w:val="none" w:sz="0" w:space="0" w:color="auto"/>
        <w:bottom w:val="none" w:sz="0" w:space="0" w:color="auto"/>
        <w:right w:val="none" w:sz="0" w:space="0" w:color="auto"/>
      </w:divBdr>
    </w:div>
    <w:div w:id="2114128836">
      <w:marLeft w:val="0"/>
      <w:marRight w:val="0"/>
      <w:marTop w:val="0"/>
      <w:marBottom w:val="0"/>
      <w:divBdr>
        <w:top w:val="none" w:sz="0" w:space="0" w:color="auto"/>
        <w:left w:val="none" w:sz="0" w:space="0" w:color="auto"/>
        <w:bottom w:val="none" w:sz="0" w:space="0" w:color="auto"/>
        <w:right w:val="none" w:sz="0" w:space="0" w:color="auto"/>
      </w:divBdr>
      <w:divsChild>
        <w:div w:id="1300957865">
          <w:marLeft w:val="0"/>
          <w:marRight w:val="0"/>
          <w:marTop w:val="0"/>
          <w:marBottom w:val="0"/>
          <w:divBdr>
            <w:top w:val="none" w:sz="0" w:space="0" w:color="auto"/>
            <w:left w:val="none" w:sz="0" w:space="0" w:color="auto"/>
            <w:bottom w:val="none" w:sz="0" w:space="0" w:color="auto"/>
            <w:right w:val="none" w:sz="0" w:space="0" w:color="auto"/>
          </w:divBdr>
        </w:div>
      </w:divsChild>
    </w:div>
    <w:div w:id="2124690937">
      <w:marLeft w:val="0"/>
      <w:marRight w:val="0"/>
      <w:marTop w:val="0"/>
      <w:marBottom w:val="0"/>
      <w:divBdr>
        <w:top w:val="none" w:sz="0" w:space="0" w:color="auto"/>
        <w:left w:val="none" w:sz="0" w:space="0" w:color="auto"/>
        <w:bottom w:val="none" w:sz="0" w:space="0" w:color="auto"/>
        <w:right w:val="none" w:sz="0" w:space="0" w:color="auto"/>
      </w:divBdr>
      <w:divsChild>
        <w:div w:id="188012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nd/4.0/deed.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pliance@iea.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hyperlink" Target="https://edgar.jrc.ec.europa.eu/report_202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a.org/data-and-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BD0657C522648A6F3EB73055FA351" ma:contentTypeVersion="7" ma:contentTypeDescription="Create a new document." ma:contentTypeScope="" ma:versionID="3bf1f8bd5d72ae28542fecd8eb831881">
  <xsd:schema xmlns:xsd="http://www.w3.org/2001/XMLSchema" xmlns:xs="http://www.w3.org/2001/XMLSchema" xmlns:p="http://schemas.microsoft.com/office/2006/metadata/properties" xmlns:ns2="d2bae193-b343-4fe1-8560-105f45f590a8" xmlns:ns3="2fd9115b-b0a5-4538-ba44-d8f17eeee549" targetNamespace="http://schemas.microsoft.com/office/2006/metadata/properties" ma:root="true" ma:fieldsID="dcb7876057d2b892b52aaed83645ffdc" ns2:_="" ns3:_="">
    <xsd:import namespace="d2bae193-b343-4fe1-8560-105f45f590a8"/>
    <xsd:import namespace="2fd9115b-b0a5-4538-ba44-d8f17eeee5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e193-b343-4fe1-8560-105f45f5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9115b-b0a5-4538-ba44-d8f17eeee5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09EA9-FEE1-4B53-9182-C9F852E66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e193-b343-4fe1-8560-105f45f590a8"/>
    <ds:schemaRef ds:uri="2fd9115b-b0a5-4538-ba44-d8f17eeee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C2D2A8-56E8-4E07-9D6E-42F636333916}">
  <ds:schemaRefs>
    <ds:schemaRef ds:uri="http://schemas.microsoft.com/sharepoint/v3/contenttype/forms"/>
  </ds:schemaRefs>
</ds:datastoreItem>
</file>

<file path=customXml/itemProps3.xml><?xml version="1.0" encoding="utf-8"?>
<ds:datastoreItem xmlns:ds="http://schemas.openxmlformats.org/officeDocument/2006/customXml" ds:itemID="{52615DD0-CA21-4FC2-BD3C-09C7147F0C92}">
  <ds:schemaRefs>
    <ds:schemaRef ds:uri="http://schemas.openxmlformats.org/officeDocument/2006/bibliography"/>
  </ds:schemaRefs>
</ds:datastoreItem>
</file>

<file path=customXml/itemProps4.xml><?xml version="1.0" encoding="utf-8"?>
<ds:datastoreItem xmlns:ds="http://schemas.openxmlformats.org/officeDocument/2006/customXml" ds:itemID="{CB214006-55C5-49B4-A559-ECE2F5723B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15885</TotalTime>
  <Pages>11</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Links>
    <vt:vector size="30" baseType="variant">
      <vt:variant>
        <vt:i4>1376317</vt:i4>
      </vt:variant>
      <vt:variant>
        <vt:i4>12</vt:i4>
      </vt:variant>
      <vt:variant>
        <vt:i4>0</vt:i4>
      </vt:variant>
      <vt:variant>
        <vt:i4>5</vt:i4>
      </vt:variant>
      <vt:variant>
        <vt:lpwstr>https://edgar.jrc.ec.europa.eu/report_2023</vt:lpwstr>
      </vt:variant>
      <vt:variant>
        <vt:lpwstr/>
      </vt:variant>
      <vt:variant>
        <vt:i4>3604516</vt:i4>
      </vt:variant>
      <vt:variant>
        <vt:i4>9</vt:i4>
      </vt:variant>
      <vt:variant>
        <vt:i4>0</vt:i4>
      </vt:variant>
      <vt:variant>
        <vt:i4>5</vt:i4>
      </vt:variant>
      <vt:variant>
        <vt:lpwstr>https://www.iea.org/data-and-statistics</vt:lpwstr>
      </vt:variant>
      <vt:variant>
        <vt:lpwstr/>
      </vt:variant>
      <vt:variant>
        <vt:i4>8323176</vt:i4>
      </vt:variant>
      <vt:variant>
        <vt:i4>6</vt:i4>
      </vt:variant>
      <vt:variant>
        <vt:i4>0</vt:i4>
      </vt:variant>
      <vt:variant>
        <vt:i4>5</vt:i4>
      </vt:variant>
      <vt:variant>
        <vt:lpwstr>https://creativecommons.org/licenses/by-nc-nd/4.0/deed.en</vt:lpwstr>
      </vt:variant>
      <vt:variant>
        <vt:lpwstr>ref-some-kinds-of-mods</vt:lpwstr>
      </vt:variant>
      <vt:variant>
        <vt:i4>8061008</vt:i4>
      </vt:variant>
      <vt:variant>
        <vt:i4>3</vt:i4>
      </vt:variant>
      <vt:variant>
        <vt:i4>0</vt:i4>
      </vt:variant>
      <vt:variant>
        <vt:i4>5</vt:i4>
      </vt:variant>
      <vt:variant>
        <vt:lpwstr>mailto:compliance@iea.org</vt:lpwstr>
      </vt:variant>
      <vt:variant>
        <vt:lpwstr/>
      </vt:variant>
      <vt:variant>
        <vt:i4>8257592</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Florina Pirlea</dc:creator>
  <cp:keywords/>
  <dc:description/>
  <cp:lastModifiedBy>Thijs Benschop</cp:lastModifiedBy>
  <cp:revision>190</cp:revision>
  <cp:lastPrinted>2022-05-24T23:16:00Z</cp:lastPrinted>
  <dcterms:created xsi:type="dcterms:W3CDTF">2024-03-13T15:58:00Z</dcterms:created>
  <dcterms:modified xsi:type="dcterms:W3CDTF">2024-06-14T15:36:00Z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6e36009a0d9990d72bceaa1d347ded36a69e47324e78e8db6ca04902fdb2989c</vt:lpwstr>
  </property>
  <property fmtid="{D5CDD505-2E9C-101B-9397-08002B2CF9AE}" pid="3" name="ContentTypeId">
    <vt:lpwstr>0x010100CA9BD0657C522648A6F3EB73055FA351</vt:lpwstr>
  </property>
</Properties>
</file>