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Ce stage a été pour moi l'occasion de mener une mission de front au sein de l'entreprise Rossignol et ainsi de pouvoir découvrir différents aspects du travail effectué au département marketing et communication sur l'événement de l'année : les 100 ans de la marque. Ce rôle m'a également permis de mieux prendre en considération les difficultés et enjeux rencontrés lorsque l'on organise un événement à l'échelle mondiale. Il était pour moi d'autant plus intéressant de participer à la mise en place de celui-ci dans la mesure où le département, fraîchement réorganisé, prenait un nouveau démarrage depuis le rachat par Quiksilver avec pour but principal de faire connaître les nouvelles ambitions de la marque. J'ai également pu travailler sur l'élaboration de nouveaux outils de communication.</w:t>
      </w:r>
    </w:p>
    <w:p>
      <w:pPr>
        <w:pStyle w:val="Normal"/>
        <w:rPr/>
      </w:pPr>
      <w:r>
        <w:rPr/>
      </w:r>
    </w:p>
    <w:p>
      <w:pPr>
        <w:pStyle w:val="Normal"/>
        <w:rPr/>
      </w:pPr>
      <w:r>
        <w:rPr/>
        <w:t>[...] Celle-ci doit s’approcher au maximum de l’arborescence du site Internet Rossignol pour avoir une cohérence des 2 outils. Il semble opportun de s’appuyer sur la structure. Cette option créera une harmonie entre ces 2 outils informatiques qui ne peut être que bénéfique pour les utilisate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2015-03-25T12:52:47Z</dcterms:created>
  <dc:language>en-US</dc:language>
  <cp:revision>0</cp:revision>
</cp:coreProperties>
</file>