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www.conforama.fr/p/509957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http://www.conforama.fr/chambre-literie/chambre-adulte/armoire/armoire-3-portes-l229-cm-perfect-coloris-chene-oslo/p/509957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L229 cmPERFECT coloris chêne oslo&lt;/strong&gt;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