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581800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www.conforama.fr/p/581800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ChaiseCHARLTON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http://media.conforama.fr/Medias/500000/80000/1000/800/00/G_581800_A.jpg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86 cm</w:t>
            </w:r>
          </w:p>
          <w:p>
            <w:pPr>
              <w:spacing w:after="0"/>
            </w:pPr>
            <w:r>
              <w:t xml:space="preserve">#- Largeur: 44 cm</w:t>
            </w:r>
          </w:p>
          <w:p>
            <w:pPr>
              <w:spacing w:after="0"/>
            </w:pPr>
            <w:r>
              <w:t xml:space="preserve">#- Profondeur d'assise: 53 cm</w:t>
            </w:r>
          </w:p>
          <w:p>
            <w:pPr>
              <w:spacing w:after="0"/>
            </w:pPr>
            <w:r>
              <w:t xml:space="preserve">#- Poids total colis: 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tissu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Epoxy</w:t>
            </w:r>
          </w:p>
          <w:p>
            <w:pPr>
              <w:spacing w:after="0"/>
            </w:pPr>
            <w:r>
              <w:t xml:space="preserve">#- Matière dossier: Tissu</w:t>
            </w:r>
          </w:p>
          <w:p>
            <w:pPr>
              <w:spacing w:after="0"/>
            </w:pPr>
            <w:r>
              <w:t xml:space="preserve">#- Matière assise: Tissu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