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www.conforama.fr/p/583503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140x190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140x190 cm en PUcoloris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http://media.conforama.fr/Medias/500000/80000/3000/500/00/G_583503_A.jpg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153 cm</w:t>
            </w:r>
          </w:p>
          <w:p>
            <w:pPr>
              <w:spacing w:after="0"/>
            </w:pPr>
            <w:r>
              <w:t xml:space="preserve">#- Longueur: 198 cm</w:t>
            </w:r>
          </w:p>
          <w:p>
            <w:pPr>
              <w:spacing w:after="0"/>
            </w:pPr>
            <w:r>
              <w:t xml:space="preserve">#- Autres dimensions de couchage disponibles: 160 x 200 cm et 180 x 200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