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587232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7" w:history="1">
              <w:r>
                <w:rPr>
                  <w:rStyle w:val="NLink"/>
                </w:rPr>
                <w:t xml:space="preserve">www.conforama.fr/p/587232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120x190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120x190 cmSIMMONS ACTIFERM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8" w:history="1">
              <w:r>
                <w:rPr>
                  <w:rStyle w:val="NLink"/>
                </w:rPr>
                <w:t xml:space="preserve">http://media.conforama.fr/Medias/500000/80000/7000/200/30/G_587232_A.jpg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'513'</w:t>
            </w:r>
          </w:p>
          <w:p>
            <w:pPr>
              <w:spacing w:after="0"/>
            </w:pPr>
            <w:r>
              <w:t xml:space="preserve">#- Soutien: Trés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120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23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22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56% polyester 44% viscose</w:t>
            </w:r>
          </w:p>
          <w:p>
            <w:pPr>
              <w:spacing w:after="0"/>
            </w:pPr>
            <w:r>
              <w:t xml:space="preserve">#- Matière 1: Garnissage mousse de confort 22 kg/m3 18 mm</w:t>
            </w:r>
          </w:p>
          <w:p>
            <w:pPr>
              <w:spacing w:after="0"/>
            </w:pPr>
            <w:r>
              <w:t xml:space="preserve">#- Matière 2: Face hiver laine 200g/m² et ouate polyester 150 g/m²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