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www.conforama.fr/p/570667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portesCALGARY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http://media.conforama.fr/Medias/500000/70000/0000/600/60/G_570667_A.jpg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Ouvrante</w:t>
            </w:r>
          </w:p>
          <w:p>
            <w:pPr>
              <w:spacing w:after="0"/>
            </w:pPr>
            <w:r>
              <w:t xml:space="preserve">#- Compatible avec kit led: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49.6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Largeur: 150.2 cm</w:t>
            </w:r>
          </w:p>
          <w:p>
            <w:pPr>
              <w:spacing w:after="0"/>
            </w:pPr>
            <w:r>
              <w:t xml:space="preserve">#- Poids total colis: 57 kg</w:t>
            </w:r>
          </w:p>
          <w:p>
            <w:pPr>
              <w:spacing w:after="0"/>
            </w:pPr>
            <w:r>
              <w:t xml:space="preserve">#- Supporte un tv de (maximum): 100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Plateau supérieur: Placage chêne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