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586697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www.conforama.fr/p/586697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Banc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Banc TVOVIO colors blanc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http://media.conforama.fr/Medias/500000/80000/6000/600/90/G_586697_A.jpg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'1'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Oui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Banc</w:t>
            </w:r>
          </w:p>
          <w:p>
            <w:pPr>
              <w:spacing w:after="0"/>
            </w:pPr>
            <w:r>
              <w:t xml:space="preserve">#- Type de porte: Pas de porte</w:t>
            </w:r>
          </w:p>
          <w:p>
            <w:pPr>
              <w:spacing w:after="0"/>
            </w:pPr>
            <w:r>
              <w:t xml:space="preserve">#- Compatible avec kit led: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46 cm</w:t>
            </w:r>
          </w:p>
          <w:p>
            <w:pPr>
              <w:spacing w:after="0"/>
            </w:pPr>
            <w:r>
              <w:t xml:space="preserve">#- Longueur: 46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Poids total colis: 58 kg</w:t>
            </w:r>
          </w:p>
          <w:p>
            <w:pPr>
              <w:spacing w:after="0"/>
            </w:pPr>
            <w:r>
              <w:t xml:space="preserve">#- Supporte un tv de (maximum): 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Plateau supérieur: 18 mm d'épaisseur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