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www.conforama.fr/p/589089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http://media.conforama.fr/Medias/500000/80000/9000/000/80/G_589089_A.jpg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'1'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38.9 cm</w:t>
            </w:r>
          </w:p>
          <w:p>
            <w:pPr>
              <w:spacing w:after="0"/>
            </w:pPr>
            <w:r>
              <w:t xml:space="preserve">#- Longueur maximum: 108 cm</w:t>
            </w:r>
          </w:p>
          <w:p>
            <w:pPr>
              <w:spacing w:after="0"/>
            </w:pPr>
            <w:r>
              <w:t xml:space="preserve">#- Largeur: 53.4 cm</w:t>
            </w:r>
          </w:p>
          <w:p>
            <w:pPr>
              <w:spacing w:after="0"/>
            </w:pPr>
            <w:r>
              <w:t xml:space="preserve">#- Hauteur minimum: 38.9 cm</w:t>
            </w:r>
          </w:p>
          <w:p>
            <w:pPr>
              <w:spacing w:after="0"/>
            </w:pPr>
            <w:r>
              <w:t xml:space="preserve">#- Longueur minimum: 108 cm</w:t>
            </w:r>
          </w:p>
          <w:p>
            <w:pPr>
              <w:spacing w:after="0"/>
            </w:pPr>
            <w:r>
              <w:t xml:space="preserve">#- Poids total colis: 22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Finition piètement: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