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591626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www.conforama.fr/p/591626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 carrée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 carréeColoris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http://media.conforama.fr/Medias/500000/90000/1000/600/20/G_591626_A.jpg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carrée</w:t>
            </w:r>
          </w:p>
          <w:p>
            <w:pPr>
              <w:spacing w:after="0"/>
            </w:pPr>
            <w:r>
              <w:t xml:space="preserve">#- Nombre de plateaux / étagères / tablettes: '2'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35 cm</w:t>
            </w:r>
          </w:p>
          <w:p>
            <w:pPr>
              <w:spacing w:after="0"/>
            </w:pPr>
            <w:r>
              <w:t xml:space="preserve">#- Longueur maximum: 80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Hauteur minimum: 35 cm</w:t>
            </w:r>
          </w:p>
          <w:p>
            <w:pPr>
              <w:spacing w:after="0"/>
            </w:pPr>
            <w:r>
              <w:t xml:space="preserve">#- Longueur minimum: 80 cm</w:t>
            </w:r>
          </w:p>
          <w:p>
            <w:pPr>
              <w:spacing w:after="0"/>
            </w:pPr>
            <w:r>
              <w:t xml:space="preserve">#- Poids total colis: 50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fibres de moyenne densité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2016-05-18T18:56:27+02:00</dcterms:created>
  <dcterms:modified xsi:type="dcterms:W3CDTF">2016-05-18T18:56:27+02:00</dcterms:modified>
  <dc:title/>
  <dc:description/>
  <dc:subject/>
  <cp:keywords/>
  <cp:category/>
</cp:coreProperties>
</file>