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Gilets de flottaison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gilet de flottaison, gilet de natation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un gilet de flottaison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faire votre choix de gilet de flottaison avec tous les conseils utiles pour votre achat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hyperlink r:id="rId288" w:history="1">
        <w:r>
          <w:rPr>
            <w:rStyle w:val="NLink"/>
          </w:rPr>
          <w:t xml:space="preserve">éveil aquatique</w:t>
        </w:r>
      </w:hyperlink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89" w:history="1">
        <w:r>
          <w:rPr>
            <w:rStyle w:val="NLink"/>
          </w:rPr>
          <w:t xml:space="preserve">brassards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j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90" w:history="1">
        <w:r>
          <w:rPr>
            <w:rStyle w:val="NLink"/>
          </w:rPr>
          <w:t xml:space="preserve">frite</w:t>
        </w:r>
      </w:hyperlink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3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2015-12-02T11:51:21+01:00</dcterms:created>
  <dcterms:modified xsi:type="dcterms:W3CDTF">2015-12-02T11:51:21+01:00</dcterms:modified>
  <dc:title/>
  <dc:description/>
  <dc:subject/>
  <cp:keywords/>
  <cp:category/>
</cp:coreProperties>
</file>