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détecteur de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détection de pêche, détecteur de pêche, détecteurs de touche, matériel de détection de pêche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détecteurs de touche pour la pêche de la carpe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détection de pêche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312" w:history="1">
        <w:r>
          <w:rPr>
            <w:rStyle w:val="NLink"/>
          </w:rPr>
          <w:t xml:space="preserve">détecteur de touche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hyperlink r:id="rId313" w:history="1">
        <w:r>
          <w:rPr>
            <w:rStyle w:val="NLink"/>
          </w:rPr>
          <w:t xml:space="preserve">cette page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hyperlink r:id="rId314" w:history="1">
        <w:r>
          <w:rPr>
            <w:rStyle w:val="NLink"/>
          </w:rPr>
          <w:t xml:space="preserve">votre détecteur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2015-12-02T11:51:22+01:00</dcterms:created>
  <dcterms:modified xsi:type="dcterms:W3CDTF">2015-12-02T11:51:22+01:00</dcterms:modified>
  <dc:title/>
  <dc:description/>
  <dc:subject/>
  <cp:keywords/>
  <cp:category/>
</cp:coreProperties>
</file>