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appâts pour la pêche à la carpe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appâts naturels, appâts artificiels, appâts pour la pêche à la carpe, appâts de pêche facilement conservables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appâts pour la pêche de la carpe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vos appâts pour la pêche de la carpe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5" w:history="1">
        <w:r>
          <w:rPr>
            <w:rStyle w:val="NLink"/>
          </w:rPr>
          <w:t xml:space="preserve">appâts</w:t>
        </w:r>
      </w:hyperlink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ï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â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316" w:history="1">
        <w:r>
          <w:rPr>
            <w:rStyle w:val="NLink"/>
          </w:rPr>
          <w:t xml:space="preserve">la carpe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17" w:history="1">
        <w:r>
          <w:rPr>
            <w:rStyle w:val="NLink"/>
          </w:rPr>
          <w:t xml:space="preserve">montages solides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2015-12-02T11:51:23+01:00</dcterms:created>
  <dcterms:modified xsi:type="dcterms:W3CDTF">2015-12-02T11:51:23+01:00</dcterms:modified>
  <dc:title/>
  <dc:description/>
  <dc:subject/>
  <cp:keywords/>
  <cp:category/>
</cp:coreProperties>
</file>