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conseils pour pratiquer la randonnée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Pratiquer la randonnée, pratique de la randonnée, pratiquer randonnée montagne,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Conseils pour pratiquer la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Pratiquer la randonnée permet de découvrir de nouveaux espaces tout en faisant le plein d&amp;rsquo;oxygène. Pour un vrai moment de plaisir, voici les conseils de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5" w:history="1">
        <w:r>
          <w:rPr>
            <w:rStyle w:val="NLink"/>
          </w:rPr>
          <w:t xml:space="preserve">t-shirts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6" w:history="1">
        <w:r>
          <w:rPr>
            <w:rStyle w:val="NLink"/>
          </w:rPr>
          <w:t xml:space="preserve">provisions d'eau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47" w:history="1">
        <w:r>
          <w:rPr>
            <w:rStyle w:val="NLink"/>
          </w:rPr>
          <w:t xml:space="preserve">barres de céréales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2015-12-02T11:51:25+01:00</dcterms:created>
  <dcterms:modified xsi:type="dcterms:W3CDTF">2015-12-02T11:51:25+01:00</dcterms:modified>
  <dc:title/>
  <dc:description/>
  <dc:subject/>
  <cp:keywords/>
  <cp:category/>
</cp:coreProperties>
</file>