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rugby avec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Rugby, maillot de rugby, short de rugby, chaussures de rugby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rugby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Maillots, chaussures, protections de rugby, DECATHLON vous aide à choisir votre équipement pour vos matchs et vos entraînements de rugby.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58" w:history="1">
        <w:r>
          <w:rPr>
            <w:rStyle w:val="NLink"/>
          </w:rPr>
          <w:t xml:space="preserve">habillement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59" w:history="1">
        <w:r>
          <w:rPr>
            <w:rStyle w:val="NLink"/>
          </w:rPr>
          <w:t xml:space="preserve">maillot-manches-courtes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60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2015-12-02T11:51:02+01:00</dcterms:created>
  <dcterms:modified xsi:type="dcterms:W3CDTF">2015-12-02T11:51:02+01:00</dcterms:modified>
  <dc:title/>
  <dc:description/>
  <dc:subject/>
  <cp:keywords/>
  <cp:category/>
</cp:coreProperties>
</file>