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Mousquetons voile, mousquetons asymétriques, mousquetons, mousquetons à &amp;oelig;il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mousquetons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les mousquetons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5" w:history="1">
        <w:r>
          <w:rPr>
            <w:rStyle w:val="NLink"/>
          </w:rPr>
          <w:t xml:space="preserve">équipement de sécurité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76" w:history="1">
        <w:r>
          <w:rPr>
            <w:rStyle w:val="NLink"/>
          </w:rPr>
          <w:t xml:space="preserve">cordages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77" w:history="1">
        <w:r>
          <w:rPr>
            <w:rStyle w:val="NLink"/>
          </w:rPr>
          <w:t xml:space="preserve">manilles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&amp;</w:t>
      </w:r>
      <w:r>
        <w:rPr>
          <w:b/>
        </w:rPr>
        <w:t xml:space="preserve">o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;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