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son armoire forte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armoire forte, armoire blindée, sécurité, armes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armoire forte-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choisir la meilleure armoire forte pour ranger vos armes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114" w:history="1">
        <w:r>
          <w:rPr>
            <w:rStyle w:val="NLink"/>
          </w:rPr>
          <w:t xml:space="preserve">armes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5" w:history="1">
        <w:r>
          <w:rPr>
            <w:rStyle w:val="NLink"/>
          </w:rPr>
          <w:t xml:space="preserve">armoires fortes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16" w:history="1">
        <w:r>
          <w:rPr>
            <w:rStyle w:val="NLink"/>
          </w:rPr>
          <w:t xml:space="preserve">armoire forte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2015-12-02T11:51:06+01:00</dcterms:created>
  <dcterms:modified xsi:type="dcterms:W3CDTF">2015-12-02T11:51:06+01:00</dcterms:modified>
  <dc:title/>
  <dc:description/>
  <dc:subject/>
  <cp:keywords/>
  <cp:category/>
</cp:coreProperties>
</file>