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une mallette d'équitation adaptée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mallette d&amp;rsquo;équitation, matériel de pansage, brosses de pansage, matériel d'équitation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mallette d&amp;rsquo;équitation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la mallette d&amp;rsquo;équitation la plus adaptée pour ranger votre matériel d&amp;rsquo;équitation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123" w:history="1">
        <w:r>
          <w:rPr>
            <w:rStyle w:val="NLink"/>
          </w:rPr>
          <w:t xml:space="preserve">la mallette d'équitation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24" w:history="1">
        <w:r>
          <w:rPr>
            <w:rStyle w:val="NLink"/>
          </w:rPr>
          <w:t xml:space="preserve">matériel de pansage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5" w:history="1">
        <w:r>
          <w:rPr>
            <w:rStyle w:val="NLink"/>
          </w:rPr>
          <w:t xml:space="preserve">mallettes d'équitation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2015-12-02T11:51:07+01:00</dcterms:created>
  <dcterms:modified xsi:type="dcterms:W3CDTF">2015-12-02T11:51:07+01:00</dcterms:modified>
  <dc:title/>
  <dc:description/>
  <dc:subject/>
  <cp:keywords/>
  <cp:category/>
</cp:coreProperties>
</file>