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ses chaussures fitness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fitness, chaussures fitness femme, baskets fitness, chaussures fitness chez DECATLHON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fitness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Découvrez un large choix  de chaussures fitness chez DECATHLON adaptées à vos besoins et à votre budget.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hyperlink r:id="rId146" w:history="1">
        <w:r>
          <w:rPr>
            <w:rStyle w:val="NLink"/>
          </w:rPr>
          <w:t xml:space="preserve">chaussures fitness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147" w:history="1">
        <w:r>
          <w:rPr>
            <w:rStyle w:val="NLink"/>
          </w:rPr>
          <w:t xml:space="preserve">fitness%2c-musculation</w:t>
        </w:r>
      </w:hyperlink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48" w:history="1">
        <w:r>
          <w:rPr>
            <w:rStyle w:val="NLink"/>
          </w:rPr>
          <w:t xml:space="preserve">chaussettes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2015-12-02T11:51:09+01:00</dcterms:created>
  <dcterms:modified xsi:type="dcterms:W3CDTF">2015-12-02T11:51:09+01:00</dcterms:modified>
  <dc:title/>
  <dc:description/>
  <dc:subject/>
  <cp:keywords/>
  <cp:category/>
</cp:coreProperties>
</file>