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bonnes cuissardes de pêche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cuissardes de pêche, cuissardes DECATHLON, cuissardes en caoutchouc, cuissardes en néoprène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cuissardes pour la pêche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cuissardes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hyperlink r:id="rId300" w:history="1">
        <w:r>
          <w:rPr>
            <w:rStyle w:val="NLink"/>
          </w:rPr>
          <w:t xml:space="preserve">L'équipement du pêcheur</w:t>
        </w:r>
      </w:hyperlink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01" w:history="1">
        <w:r>
          <w:rPr>
            <w:rStyle w:val="NLink"/>
          </w:rPr>
          <w:t xml:space="preserve">cuissardes de pêche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02" w:history="1">
        <w:r>
          <w:rPr>
            <w:rStyle w:val="NLink"/>
          </w:rPr>
          <w:t xml:space="preserve">waders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2015-12-03T11:35:06+01:00</dcterms:created>
  <dcterms:modified xsi:type="dcterms:W3CDTF">2015-12-03T11:35:06+01:00</dcterms:modified>
  <dc:title/>
  <dc:description/>
  <dc:subject/>
  <cp:keywords/>
  <cp:category/>
</cp:coreProperties>
</file>