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fils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 de pêche,  fil de pêche fluorescent, fil de pêche fluorocarbone, fils de pêche en nylon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 de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fil de pêche pour vos excursions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03" w:history="1">
        <w:r>
          <w:rPr>
            <w:rStyle w:val="NLink"/>
          </w:rPr>
          <w:t xml:space="preserve">matériel de pêche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4" w:history="1">
        <w:r>
          <w:rPr>
            <w:rStyle w:val="NLink"/>
          </w:rPr>
          <w:t xml:space="preserve">fil de pêche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/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hyperlink r:id="rId305" w:history="1">
        <w:r>
          <w:rPr>
            <w:rStyle w:val="NLink"/>
          </w:rPr>
          <w:t xml:space="preserve">la tresse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2015-12-03T11:35:06+01:00</dcterms:created>
  <dcterms:modified xsi:type="dcterms:W3CDTF">2015-12-03T11:35:06+01:00</dcterms:modified>
  <dc:title/>
  <dc:description/>
  <dc:subject/>
  <cp:keywords/>
  <cp:category/>
</cp:coreProperties>
</file>