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Pour tout savoir sur les pratiques de la randonnée pédestre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Randonnée, randonnée pédestre, équipement randonnée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Découvrez les différentes disciplines de la randonnée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La randonnée englobe de multiples disciplines de la plus calme à la plus exigeante. Pour en savoir plus, DECATHLON vous détaille les pratiques et l'équipement nécessaire.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30" w:history="1">
        <w:r>
          <w:rPr>
            <w:rStyle w:val="NLink"/>
          </w:rPr>
          <w:t xml:space="preserve">bâtons pour la marche nordique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/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31" w:history="1">
        <w:r>
          <w:rPr>
            <w:rStyle w:val="NLink"/>
          </w:rPr>
          <w:t xml:space="preserve">GPS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32" w:history="1">
        <w:r>
          <w:rPr>
            <w:rStyle w:val="NLink"/>
          </w:rPr>
          <w:t xml:space="preserve">chaussures de randonnée</w:t>
        </w:r>
      </w:hyperlink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2015-12-03T11:35:08+01:00</dcterms:created>
  <dcterms:modified xsi:type="dcterms:W3CDTF">2015-12-03T11:35:08+01:00</dcterms:modified>
  <dc:title/>
  <dc:description/>
  <dc:subject/>
  <cp:keywords/>
  <cp:category/>
</cp:coreProperties>
</file>