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L'équipement idéal pour le trail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Trail, chaussures de trail, textile de trail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un équipement de trail performant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votre équipement de trail et partir à l'aventure.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63" w:history="1">
        <w:r>
          <w:rPr>
            <w:rStyle w:val="NLink"/>
          </w:rPr>
          <w:t xml:space="preserve">course à pied</w:t>
        </w:r>
      </w:hyperlink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64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365" w:history="1">
        <w:r>
          <w:rPr>
            <w:rStyle w:val="NLink"/>
          </w:rPr>
          <w:t xml:space="preserve">gps</w:t>
        </w:r>
      </w:hyperlink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2015-12-03T11:35:11+01:00</dcterms:created>
  <dcterms:modified xsi:type="dcterms:W3CDTF">2015-12-03T11:35:11+01:00</dcterms:modified>
  <dc:title/>
  <dc:description/>
  <dc:subject/>
  <cp:keywords/>
  <cp:category/>
</cp:coreProperties>
</file>