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choisir sa balance connectée avec DECATHLON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Balance connectée, balance connectée pour femme et homme, pèse-personne connecté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sa balance connectée pour surveiller son poids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Pour une remise en forme sur-mesure, les balances connectées vous offrent de nombreuses fonctions utiles. DECATHLON vous aide à choisir celle qu'il vous faut.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49" w:history="1">
        <w:r>
          <w:rPr>
            <w:rStyle w:val="NLink"/>
          </w:rPr>
          <w:t xml:space="preserve">pèse-personnes</w:t>
        </w:r>
      </w:hyperlink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è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-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M</w:t>
      </w:r>
      <w:r>
        <w:rPr/>
        <w:t xml:space="preserve">C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50" w:history="1">
        <w:r>
          <w:rPr>
            <w:rStyle w:val="NLink"/>
          </w:rPr>
          <w:t xml:space="preserve">cardio-fréquencemètre</w:t>
        </w:r>
      </w:hyperlink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51" w:history="1">
        <w:r>
          <w:rPr>
            <w:rStyle w:val="NLink"/>
          </w:rPr>
          <w:t xml:space="preserve">remise en forme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2015-12-03T11:34:46+01:00</dcterms:created>
  <dcterms:modified xsi:type="dcterms:W3CDTF">2015-12-03T11:34:46+01:00</dcterms:modified>
  <dc:title/>
  <dc:description/>
  <dc:subject/>
  <cp:keywords/>
  <cp:category/>
</cp:coreProperties>
</file>