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conseils de DECATHLON pour choisir son équipement de basket-ball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Basket-ball, équipement de basket-ball, chaussures de basket-ball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un équipement idéal de basket-ball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choisir l'équipement de basket-ball qui vous permettra de jouer en tout confort et au mieux de vos performances, DECATHLON a la solution.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61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hyperlink r:id="rId62" w:history="1">
        <w:r>
          <w:rPr>
            <w:rStyle w:val="NLink"/>
          </w:rPr>
          <w:t xml:space="preserve">chaussures/N-313179-genre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63" w:history="1">
        <w:r>
          <w:rPr>
            <w:rStyle w:val="NLink"/>
          </w:rPr>
          <w:t xml:space="preserve">maillot-sans-manche</w:t>
        </w:r>
      </w:hyperlink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2015-12-03T11:34:47+01:00</dcterms:created>
  <dcterms:modified xsi:type="dcterms:W3CDTF">2015-12-03T11:34:47+01:00</dcterms:modified>
  <dc:title/>
  <dc:description/>
  <dc:subject/>
  <cp:keywords/>
  <cp:category/>
</cp:coreProperties>
</file>