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S'équiper pour la voile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Catamaran, navigation en catamaran, harnais, harnais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La navigation en toute sécurité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équipe pour la voile et pense aux accessoires qui vous deviendront vite indispensables pour voguer sereinement 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hyperlink r:id="rId72" w:history="1">
        <w:r>
          <w:rPr>
            <w:rStyle w:val="NLink"/>
          </w:rPr>
          <w:t xml:space="preserve">catamaran</w:t>
        </w:r>
      </w:hyperlink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73" w:history="1">
        <w:r>
          <w:rPr>
            <w:rStyle w:val="NLink"/>
          </w:rPr>
          <w:t xml:space="preserve">cordage</w:t>
        </w:r>
      </w:hyperlink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74" w:history="1">
        <w:r>
          <w:rPr>
            <w:rStyle w:val="NLink"/>
          </w:rPr>
          <w:t xml:space="preserve">harnais</w:t>
        </w:r>
      </w:hyperlink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2015-12-03T11:34:48+01:00</dcterms:created>
  <dcterms:modified xsi:type="dcterms:W3CDTF">2015-12-03T11:34:48+01:00</dcterms:modified>
  <dc:title/>
  <dc:description/>
  <dc:subject/>
  <cp:keywords/>
  <cp:category/>
</cp:coreProperties>
</file>