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bien choisir son chapeau de chasse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chapeau de chasse, équipement de chasse, chapeau pour homme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chapeau de chasse-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un chapeau de chasse adapté à vos besoins.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05" w:history="1">
        <w:r>
          <w:rPr>
            <w:rStyle w:val="NLink"/>
          </w:rPr>
          <w:t xml:space="preserve">chapeau de chasse</w:t>
        </w:r>
      </w:hyperlink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106" w:history="1">
        <w:r>
          <w:rPr>
            <w:rStyle w:val="NLink"/>
          </w:rPr>
          <w:t xml:space="preserve">équipement de chasse</w:t>
        </w:r>
      </w:hyperlink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07" w:history="1">
        <w:r>
          <w:rPr>
            <w:rStyle w:val="NLink"/>
          </w:rPr>
          <w:t xml:space="preserve">chapeau de chasse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2015-12-03T11:34:50+01:00</dcterms:created>
  <dcterms:modified xsi:type="dcterms:W3CDTF">2015-12-03T11:34:50+01:00</dcterms:modified>
  <dc:title/>
  <dc:description/>
  <dc:subject/>
  <cp:keywords/>
  <cp:category/>
</cp:coreProperties>
</file>