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équipement de musculation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musculation, fitness, appareils de musculation, exercices de musculation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fitness et musculation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 matériel de fitness et de musculation qui saura répondre à vos attentes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44" w:history="1">
        <w:r>
          <w:rPr>
            <w:rStyle w:val="NLink"/>
          </w:rPr>
          <w:t xml:space="preserve">large choix</w:t>
        </w:r>
      </w:hyperlink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45" w:history="1">
        <w:r>
          <w:rPr>
            <w:rStyle w:val="NLink"/>
          </w:rPr>
          <w:t xml:space="preserve">équipements de musculation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2015-12-03T11:34:54+01:00</dcterms:created>
  <dcterms:modified xsi:type="dcterms:W3CDTF">2015-12-03T11:34:54+01:00</dcterms:modified>
  <dc:title/>
  <dc:description/>
  <dc:subject/>
  <cp:keywords/>
  <cp:category/>
</cp:coreProperties>
</file>