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solution de cartographie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Cartographie,cartographie GPS,cartes électroniques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cartographie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cartographie pour vos sorties outdoor.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hyperlink r:id="rId25" w:history="1">
        <w:r>
          <w:rPr>
            <w:rStyle w:val="NLink"/>
          </w:rPr>
          <w:t xml:space="preserve">randonnées camping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" w:history="1">
        <w:r>
          <w:rPr>
            <w:rStyle w:val="NLink"/>
          </w:rPr>
          <w:t xml:space="preserve">montres GPS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" w:history="1">
        <w:r>
          <w:rPr>
            <w:rStyle w:val="NLink"/>
          </w:rPr>
          <w:t xml:space="preserve">GPS boussoles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2015-12-03T11:34:45+01:00</dcterms:created>
  <dcterms:modified xsi:type="dcterms:W3CDTF">2015-12-03T11:34:45+01:00</dcterms:modified>
  <dc:title/>
  <dc:description/>
  <dc:subject/>
  <cp:keywords/>
  <cp:category/>
</cp:coreProperties>
</file>