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et utiliser un rameur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Rameur, rameur DECATHLON, rameur pas cher,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rameur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 rameur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72" w:history="1">
        <w:r>
          <w:rPr>
            <w:rStyle w:val="NLink"/>
          </w:rPr>
          <w:t xml:space="preserve">pour choisir le rameur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hyperlink r:id="rId173" w:history="1">
        <w:r>
          <w:rPr>
            <w:rStyle w:val="NLink"/>
          </w:rPr>
          <w:t xml:space="preserve">leggings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74" w:history="1">
        <w:r>
          <w:rPr>
            <w:rStyle w:val="NLink"/>
          </w:rPr>
          <w:t xml:space="preserve">débardeur</w:t>
        </w:r>
      </w:hyperlink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2015-12-03T11:34:56+01:00</dcterms:created>
  <dcterms:modified xsi:type="dcterms:W3CDTF">2015-12-03T11:34:56+01:00</dcterms:modified>
  <dc:title/>
  <dc:description/>
  <dc:subject/>
  <cp:keywords/>
  <cp:category/>
</cp:coreProperties>
</file>