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meilleurs buts et mini-buts de foot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but de foot, mini-but de foot, cage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les meilleurs buts et mini-buts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 DECATHLON vous oriente pour choisir le but ou mini-but de foot le mieux adapté pour vos parties de foot en famille ou entre amis.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1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195" w:history="1">
        <w:r>
          <w:rPr>
            <w:rStyle w:val="NLink"/>
          </w:rPr>
          <w:t xml:space="preserve">buts et ballons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96" w:history="1">
        <w:r>
          <w:rPr>
            <w:rStyle w:val="NLink"/>
          </w:rPr>
          <w:t xml:space="preserve">guide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-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97" w:history="1">
        <w:r>
          <w:rPr>
            <w:rStyle w:val="NLink"/>
          </w:rPr>
          <w:t xml:space="preserve">ballon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98" w:history="1">
        <w:r>
          <w:rPr>
            <w:rStyle w:val="NLink"/>
          </w:rPr>
          <w:t xml:space="preserve">sans-gardien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hyperlink r:id="rId199" w:history="1">
        <w:r>
          <w:rPr>
            <w:rStyle w:val="NLink"/>
          </w:rPr>
          <w:t xml:space="preserve"/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2015-12-03T11:34:58+01:00</dcterms:created>
  <dcterms:modified xsi:type="dcterms:W3CDTF">2015-12-03T11:34:58+01:00</dcterms:modified>
  <dc:title/>
  <dc:description/>
  <dc:subject/>
  <cp:keywords/>
  <cp:category/>
</cp:coreProperties>
</file>