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un sac de randonnée performant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 à dos randonnée, sac à dos randonnée pour plusieurs jours, sacs à dos randonnée porte-bébé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sac à dos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sélectionner le sac à dos randonnée idéal pour vos balades en fonction de votre niveau de pratique.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48" w:history="1">
        <w:r>
          <w:rPr>
            <w:rStyle w:val="NLink"/>
          </w:rPr>
          <w:t xml:space="preserve">randonnée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49" w:history="1">
        <w:r>
          <w:rPr>
            <w:rStyle w:val="NLink"/>
          </w:rPr>
          <w:t xml:space="preserve">partir pour un long circuit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hyperlink r:id="rId350" w:history="1">
        <w:r>
          <w:rPr>
            <w:rStyle w:val="NLink"/>
          </w:rPr>
          <w:t xml:space="preserve">un GPS, une boussole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2015-12-03T11:36:11+01:00</dcterms:created>
  <dcterms:modified xsi:type="dcterms:W3CDTF">2015-12-03T11:36:11+01:00</dcterms:modified>
  <dc:title/>
  <dc:description/>
  <dc:subject/>
  <cp:keywords/>
  <cp:category/>
</cp:coreProperties>
</file>