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Glisser ses pieds dans des après-skis efficaces et confortables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Après-ski, après-ski enfant, bottines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après-skis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après-skis qu'il vous faut pour votre séjour à la montagne.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51" w:history="1">
        <w:r>
          <w:rPr>
            <w:rStyle w:val="NLink"/>
          </w:rPr>
          <w:t xml:space="preserve">journée en montagne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2" w:history="1">
        <w:r>
          <w:rPr>
            <w:rStyle w:val="NLink"/>
          </w:rPr>
          <w:t xml:space="preserve">randonnées en terrain enneigé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53" w:history="1">
        <w:r>
          <w:rPr>
            <w:rStyle w:val="NLink"/>
          </w:rPr>
          <w:t xml:space="preserve">vos chaussettes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2015-12-03T11:36:11+01:00</dcterms:created>
  <dcterms:modified xsi:type="dcterms:W3CDTF">2015-12-03T11:36:11+01:00</dcterms:modified>
  <dc:title/>
  <dc:description/>
  <dc:subject/>
  <cp:keywords/>
  <cp:category/>
</cp:coreProperties>
</file>