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chaussures de running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running homme, chaussures de course, chaussures trail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running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Meta description : DECATHLON vous guide dans le choix de vos chaussures de running homme
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40" w:history="1">
        <w:r>
          <w:rPr>
            <w:rStyle w:val="NLink"/>
          </w:rPr>
          <w:t xml:space="preserve">chaussures running</w:t>
        </w:r>
      </w:hyperlink>
      <w:r>
        <w:rPr/>
        <w:t xml:space="preserve">.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41" w:history="1">
        <w:r>
          <w:rPr>
            <w:rStyle w:val="NLink"/>
          </w:rPr>
          <w:t xml:space="preserve">répondre à quelques questions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2" w:history="1">
        <w:r>
          <w:rPr>
            <w:rStyle w:val="NLink"/>
          </w:rPr>
          <w:t xml:space="preserve">chaussures trail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2015-12-03T11:35:50+01:00</dcterms:created>
  <dcterms:modified xsi:type="dcterms:W3CDTF">2015-12-03T11:35:50+01:00</dcterms:modified>
  <dc:title/>
  <dc:description/>
  <dc:subject/>
  <cp:keywords/>
  <cp:category/>
</cp:coreProperties>
</file>